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56C5CC58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68A259C2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5B6C666D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1BEB56D1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2E6E602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  <w:gridCol w:w="3546"/>
        <w:gridCol w:w="702"/>
      </w:tblGrid>
      <w:tr w:rsidR="00385677" w:rsidRPr="00385677" w14:paraId="43E34B13" w14:textId="77777777" w:rsidTr="004E5418">
        <w:trPr>
          <w:trHeight w:val="397"/>
        </w:trPr>
        <w:tc>
          <w:tcPr>
            <w:tcW w:w="3539" w:type="dxa"/>
            <w:vAlign w:val="center"/>
          </w:tcPr>
          <w:p w14:paraId="719B2060" w14:textId="2EBC2B7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707" w:type="dxa"/>
            <w:vAlign w:val="center"/>
          </w:tcPr>
          <w:p w14:paraId="6735E7CD" w14:textId="0F9391DD" w:rsidR="00566B27" w:rsidRPr="00385677" w:rsidRDefault="00566B27" w:rsidP="004E5418">
            <w:pPr>
              <w:rPr>
                <w:b/>
                <w:bCs/>
                <w:color w:val="3B3B98"/>
              </w:rPr>
            </w:pPr>
          </w:p>
        </w:tc>
        <w:tc>
          <w:tcPr>
            <w:tcW w:w="3546" w:type="dxa"/>
            <w:vAlign w:val="center"/>
          </w:tcPr>
          <w:p w14:paraId="1A0A9717" w14:textId="5D6688D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702" w:type="dxa"/>
          </w:tcPr>
          <w:p w14:paraId="23530B40" w14:textId="14563994" w:rsidR="00566B27" w:rsidRPr="00385677" w:rsidRDefault="00980296" w:rsidP="00980296">
            <w:pPr>
              <w:jc w:val="center"/>
              <w:rPr>
                <w:b/>
                <w:bCs/>
                <w:color w:val="404040" w:themeColor="text1" w:themeTint="BF"/>
              </w:rPr>
            </w:pPr>
            <w:r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385677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1728BD41" w:rsidR="001A07C0" w:rsidRPr="00385677" w:rsidRDefault="002E7444" w:rsidP="00D42F33">
            <w:pPr>
              <w:rPr>
                <w:color w:val="404040" w:themeColor="text1" w:themeTint="BF"/>
              </w:rPr>
            </w:pPr>
            <w:r w:rsidRPr="002E7444">
              <w:rPr>
                <w:color w:val="404040" w:themeColor="text1" w:themeTint="BF"/>
              </w:rPr>
              <w:t>BANCO DO NORDESTE DO BRASIL S.A.</w:t>
            </w:r>
          </w:p>
        </w:tc>
      </w:tr>
      <w:tr w:rsidR="00385677" w:rsidRPr="00385677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67EAE8F2" w:rsidR="001A07C0" w:rsidRPr="00385677" w:rsidRDefault="00515DDA" w:rsidP="00D42F33">
            <w:pPr>
              <w:rPr>
                <w:color w:val="404040" w:themeColor="text1" w:themeTint="BF"/>
              </w:rPr>
            </w:pPr>
            <w:r w:rsidRPr="00515DDA">
              <w:rPr>
                <w:color w:val="404040" w:themeColor="text1" w:themeTint="BF"/>
              </w:rPr>
              <w:t>07.237.373/0001-20</w:t>
            </w:r>
          </w:p>
        </w:tc>
      </w:tr>
      <w:tr w:rsidR="00385677" w:rsidRPr="00385677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13BCCAA4" w:rsidR="001A07C0" w:rsidRPr="00385677" w:rsidRDefault="00515DDA" w:rsidP="00D42F33">
            <w:pPr>
              <w:rPr>
                <w:color w:val="404040" w:themeColor="text1" w:themeTint="BF"/>
              </w:rPr>
            </w:pPr>
            <w:r w:rsidRPr="00515DDA">
              <w:rPr>
                <w:color w:val="404040" w:themeColor="text1" w:themeTint="BF"/>
              </w:rPr>
              <w:t>19/07/1952, Lei Federal nº 1.649</w:t>
            </w:r>
          </w:p>
        </w:tc>
      </w:tr>
      <w:tr w:rsidR="00385677" w:rsidRPr="00385677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0D2AB7CD" w:rsidR="001A07C0" w:rsidRPr="00385677" w:rsidRDefault="00B13AC9" w:rsidP="00D42F33">
            <w:pPr>
              <w:rPr>
                <w:color w:val="404040" w:themeColor="text1" w:themeTint="BF"/>
              </w:rPr>
            </w:pPr>
            <w:r w:rsidRPr="00B13AC9">
              <w:rPr>
                <w:color w:val="404040" w:themeColor="text1" w:themeTint="BF"/>
              </w:rPr>
              <w:t>AV. DR. SILAS MUNGUBA, 5.700, BLOCO E2 SUBSOLO, CEP 60.743-902, PASSARÉ, FORTALEZA (CE)</w:t>
            </w:r>
          </w:p>
        </w:tc>
      </w:tr>
      <w:tr w:rsidR="00385677" w:rsidRPr="00385677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41389220" w:rsidR="001A07C0" w:rsidRPr="00385677" w:rsidRDefault="00B13AC9" w:rsidP="00D42F33">
            <w:pPr>
              <w:rPr>
                <w:color w:val="404040" w:themeColor="text1" w:themeTint="BF"/>
              </w:rPr>
            </w:pPr>
            <w:r w:rsidRPr="00B13AC9">
              <w:rPr>
                <w:color w:val="404040" w:themeColor="text1" w:themeTint="BF"/>
              </w:rPr>
              <w:t>fundos@bnb.gov.br</w:t>
            </w:r>
          </w:p>
        </w:tc>
      </w:tr>
      <w:tr w:rsidR="001A07C0" w:rsidRPr="00385677" w14:paraId="26686FC3" w14:textId="77777777" w:rsidTr="00765243">
        <w:tc>
          <w:tcPr>
            <w:tcW w:w="2405" w:type="dxa"/>
          </w:tcPr>
          <w:p w14:paraId="2C65474C" w14:textId="6D224073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49ABAF3D" w:rsidR="001A07C0" w:rsidRPr="00385677" w:rsidRDefault="00B13AC9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(</w:t>
            </w:r>
            <w:r w:rsidRPr="00B13AC9">
              <w:rPr>
                <w:color w:val="404040" w:themeColor="text1" w:themeTint="BF"/>
              </w:rPr>
              <w:t>85) 3299-3544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33"/>
        <w:gridCol w:w="1734"/>
        <w:gridCol w:w="2160"/>
        <w:gridCol w:w="1967"/>
      </w:tblGrid>
      <w:tr w:rsidR="00385677" w:rsidRPr="00385677" w14:paraId="73195F68" w14:textId="77777777" w:rsidTr="00624219">
        <w:tc>
          <w:tcPr>
            <w:tcW w:w="2633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734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2160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1967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385677" w:rsidRPr="00385677" w14:paraId="2AB5ACC6" w14:textId="77777777" w:rsidTr="00624219">
        <w:tc>
          <w:tcPr>
            <w:tcW w:w="2633" w:type="dxa"/>
          </w:tcPr>
          <w:p w14:paraId="2F6E0581" w14:textId="144B1F7D" w:rsidR="002B4DAC" w:rsidRPr="00624219" w:rsidRDefault="00355221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Marcelo Wesley Justino Correia</w:t>
            </w:r>
          </w:p>
        </w:tc>
        <w:tc>
          <w:tcPr>
            <w:tcW w:w="1734" w:type="dxa"/>
          </w:tcPr>
          <w:p w14:paraId="2AD5EEEC" w14:textId="3FB04951" w:rsidR="002B4DAC" w:rsidRPr="00624219" w:rsidRDefault="00355221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Gerente de Ambiente</w:t>
            </w:r>
          </w:p>
        </w:tc>
        <w:tc>
          <w:tcPr>
            <w:tcW w:w="2160" w:type="dxa"/>
          </w:tcPr>
          <w:p w14:paraId="6C3B8B07" w14:textId="4808D31E" w:rsidR="002B4DAC" w:rsidRPr="00624219" w:rsidRDefault="005D68E3" w:rsidP="00D42F33">
            <w:pPr>
              <w:rPr>
                <w:color w:val="404040" w:themeColor="text1" w:themeTint="BF"/>
              </w:rPr>
            </w:pPr>
            <w:r w:rsidRPr="00624219">
              <w:rPr>
                <w:color w:val="404040" w:themeColor="text1" w:themeTint="BF"/>
              </w:rPr>
              <w:t>fundos@bnb.gov.br</w:t>
            </w:r>
          </w:p>
        </w:tc>
        <w:tc>
          <w:tcPr>
            <w:tcW w:w="1967" w:type="dxa"/>
          </w:tcPr>
          <w:p w14:paraId="43518DB2" w14:textId="71C4DEF4" w:rsidR="002B4DAC" w:rsidRPr="00624219" w:rsidRDefault="005D68E3" w:rsidP="00D42F33">
            <w:pPr>
              <w:rPr>
                <w:color w:val="404040" w:themeColor="text1" w:themeTint="BF"/>
              </w:rPr>
            </w:pPr>
            <w:r w:rsidRPr="00624219">
              <w:rPr>
                <w:color w:val="404040" w:themeColor="text1" w:themeTint="BF"/>
              </w:rPr>
              <w:t>(85) 3299-3544</w:t>
            </w: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6BF7F9D0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A instituição atende ao previsto nos incisos I do § 2º art. 21 da Resolução CMN nº </w:t>
            </w:r>
            <w:r w:rsidR="005B4B4F">
              <w:rPr>
                <w:b/>
                <w:bCs/>
                <w:color w:val="3B3B98"/>
              </w:rPr>
              <w:t>5.272/2025</w:t>
            </w:r>
            <w:r w:rsidRPr="00385677">
              <w:rPr>
                <w:b/>
                <w:bCs/>
                <w:color w:val="3B3B98"/>
              </w:rPr>
              <w:t>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34527510" w:rsidR="003A48B1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34D1C20B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3837CA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37CA" w:rsidRPr="00385677" w14:paraId="5D8DC4A7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511D3084" w14:textId="747CA21D" w:rsidR="003837CA" w:rsidRPr="00385677" w:rsidRDefault="003837CA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67DB27AB" w14:textId="563CF30D" w:rsidR="003837CA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08233C08" w14:textId="1D69C293" w:rsidR="003A48B1" w:rsidRPr="00385677" w:rsidRDefault="00D10755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N/a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1C23CA2C" w14:textId="51C9F43E" w:rsidR="000B24D3" w:rsidRPr="00385677" w:rsidRDefault="000B24D3" w:rsidP="000B24D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="003B303C">
        <w:rPr>
          <w:b/>
          <w:bCs/>
          <w:color w:val="3B3B98"/>
          <w:sz w:val="28"/>
          <w:szCs w:val="28"/>
        </w:rPr>
        <w:t>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B24D3" w:rsidRPr="006E6BAD" w14:paraId="09DD09C4" w14:textId="77777777" w:rsidTr="00170D9F">
        <w:tc>
          <w:tcPr>
            <w:tcW w:w="8499" w:type="dxa"/>
            <w:shd w:val="clear" w:color="auto" w:fill="3B3B98"/>
          </w:tcPr>
          <w:p w14:paraId="240FB69A" w14:textId="7DD30C52" w:rsidR="000B24D3" w:rsidRPr="00B50007" w:rsidRDefault="003B303C" w:rsidP="00170D9F">
            <w:pPr>
              <w:rPr>
                <w:b/>
                <w:bCs/>
              </w:rPr>
            </w:pPr>
            <w:r w:rsidRPr="003B303C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38399C52" w14:textId="1188C477" w:rsidR="00560AF2" w:rsidRPr="00022685" w:rsidRDefault="00CB2AE3" w:rsidP="00E5439F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A Instituição possui fundos de investimentos enquadrados com a Resolução CMN nº </w:t>
      </w:r>
      <w:r w:rsidR="005B4B4F">
        <w:rPr>
          <w:color w:val="404040" w:themeColor="text1" w:themeTint="BF"/>
        </w:rPr>
        <w:t>5.272/2025</w:t>
      </w:r>
      <w:r w:rsidR="008D13F7">
        <w:rPr>
          <w:color w:val="404040" w:themeColor="text1" w:themeTint="BF"/>
        </w:rPr>
        <w:t xml:space="preserve">, nos segmentos de </w:t>
      </w:r>
      <w:r w:rsidR="00E77855">
        <w:rPr>
          <w:color w:val="404040" w:themeColor="text1" w:themeTint="BF"/>
        </w:rPr>
        <w:t>Renda Fixa, Renda Variável</w:t>
      </w:r>
      <w:r w:rsidR="00AD7AE6">
        <w:rPr>
          <w:color w:val="404040" w:themeColor="text1" w:themeTint="BF"/>
        </w:rPr>
        <w:t xml:space="preserve"> e Investimentos </w:t>
      </w:r>
      <w:r w:rsidR="00766414">
        <w:rPr>
          <w:color w:val="404040" w:themeColor="text1" w:themeTint="BF"/>
        </w:rPr>
        <w:t>Estruturados</w:t>
      </w:r>
      <w:r w:rsidR="00813503">
        <w:rPr>
          <w:color w:val="404040" w:themeColor="text1" w:themeTint="BF"/>
        </w:rPr>
        <w:t>, conforme listado no anexo 1.</w:t>
      </w:r>
      <w:r w:rsidR="00E5439F" w:rsidRPr="00022685">
        <w:rPr>
          <w:color w:val="404040" w:themeColor="text1" w:themeTint="BF"/>
        </w:rPr>
        <w:t xml:space="preserve"> </w:t>
      </w:r>
    </w:p>
    <w:p w14:paraId="786D06F8" w14:textId="1A958602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47448C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>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C61B6">
            <w:pPr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624A616C" w14:textId="77777777" w:rsidR="00CB48AA" w:rsidRDefault="00CB48AA" w:rsidP="00BC61B6">
      <w:pPr>
        <w:jc w:val="both"/>
        <w:rPr>
          <w:color w:val="404040" w:themeColor="text1" w:themeTint="BF"/>
        </w:rPr>
      </w:pPr>
      <w:r w:rsidRPr="00CB48AA">
        <w:rPr>
          <w:color w:val="404040" w:themeColor="text1" w:themeTint="BF"/>
        </w:rPr>
        <w:t xml:space="preserve">BACEN – Certidão 02242/2012-BCB/DEORF, de 03/04/2012; </w:t>
      </w:r>
    </w:p>
    <w:p w14:paraId="7E6EBF4C" w14:textId="5288B9BD" w:rsidR="00766414" w:rsidRDefault="00CB48AA" w:rsidP="00BC61B6">
      <w:pPr>
        <w:jc w:val="both"/>
        <w:rPr>
          <w:color w:val="404040" w:themeColor="text1" w:themeTint="BF"/>
        </w:rPr>
      </w:pPr>
      <w:r w:rsidRPr="00CB48AA">
        <w:rPr>
          <w:color w:val="404040" w:themeColor="text1" w:themeTint="BF"/>
        </w:rPr>
        <w:t>CVM – Ato Declaratório/CVM/SIN/nº 1539, de 29/11/1990, autoriza o Banco do Nordeste a prestar os serviços de Administrador de Carteira de Valores Mobiliários.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03716FBC" w:rsidR="006E6BAD" w:rsidRPr="00B50007" w:rsidRDefault="00B83FDC" w:rsidP="00BC61B6">
            <w:pPr>
              <w:spacing w:line="279" w:lineRule="auto"/>
              <w:jc w:val="both"/>
              <w:rPr>
                <w:b/>
                <w:bCs/>
              </w:rPr>
            </w:pPr>
            <w:r>
              <w:rPr>
                <w:color w:val="404040" w:themeColor="text1" w:themeTint="BF"/>
              </w:rPr>
              <w:tab/>
            </w:r>
            <w:r w:rsidR="00EF0037"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BC61B6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49AEC7B5" w14:textId="5D3EAEF6" w:rsidR="00813503" w:rsidRPr="00973CF3" w:rsidRDefault="007B3EB3" w:rsidP="00BC61B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De acordo com as informações pertinentes a Instituição, disponibilizadas no Questionário </w:t>
      </w:r>
      <w:proofErr w:type="spellStart"/>
      <w:r>
        <w:rPr>
          <w:color w:val="404040" w:themeColor="text1" w:themeTint="BF"/>
        </w:rPr>
        <w:t>Due</w:t>
      </w:r>
      <w:proofErr w:type="spellEnd"/>
      <w:r>
        <w:rPr>
          <w:color w:val="404040" w:themeColor="text1" w:themeTint="BF"/>
        </w:rPr>
        <w:t xml:space="preserve"> </w:t>
      </w:r>
      <w:proofErr w:type="spellStart"/>
      <w:r>
        <w:rPr>
          <w:color w:val="404040" w:themeColor="text1" w:themeTint="BF"/>
        </w:rPr>
        <w:t>Di</w:t>
      </w:r>
      <w:r w:rsidR="001F2BC8">
        <w:rPr>
          <w:color w:val="404040" w:themeColor="text1" w:themeTint="BF"/>
        </w:rPr>
        <w:t>ligence</w:t>
      </w:r>
      <w:proofErr w:type="spellEnd"/>
      <w:r w:rsidR="001F2BC8">
        <w:rPr>
          <w:color w:val="404040" w:themeColor="text1" w:themeTint="BF"/>
        </w:rPr>
        <w:t xml:space="preserve"> ANBIMA </w:t>
      </w:r>
      <w:r w:rsidR="00447020">
        <w:rPr>
          <w:color w:val="404040" w:themeColor="text1" w:themeTint="BF"/>
        </w:rPr>
        <w:t>– dezembro/202</w:t>
      </w:r>
      <w:r w:rsidR="00355221">
        <w:rPr>
          <w:color w:val="404040" w:themeColor="text1" w:themeTint="BF"/>
        </w:rPr>
        <w:t>4</w:t>
      </w:r>
      <w:r w:rsidR="00E667A8">
        <w:rPr>
          <w:color w:val="404040" w:themeColor="text1" w:themeTint="BF"/>
        </w:rPr>
        <w:t>, o Banco do Nordeste do Brasil S.A</w:t>
      </w:r>
      <w:r w:rsidR="008700CB">
        <w:rPr>
          <w:color w:val="404040" w:themeColor="text1" w:themeTint="BF"/>
        </w:rPr>
        <w:t xml:space="preserve">., na condição de gestor de fundos de investimentos, </w:t>
      </w:r>
      <w:r w:rsidR="006021AC">
        <w:rPr>
          <w:color w:val="404040" w:themeColor="text1" w:themeTint="BF"/>
        </w:rPr>
        <w:t xml:space="preserve">adota políticas </w:t>
      </w:r>
      <w:r w:rsidR="00EC67A1">
        <w:rPr>
          <w:color w:val="404040" w:themeColor="text1" w:themeTint="BF"/>
        </w:rPr>
        <w:t>e procedimentos internos voltados a conduta ética</w:t>
      </w:r>
      <w:r w:rsidR="00442655">
        <w:rPr>
          <w:color w:val="404040" w:themeColor="text1" w:themeTint="BF"/>
        </w:rPr>
        <w:t>, além de ser signatári</w:t>
      </w:r>
      <w:r w:rsidR="00AE3E21">
        <w:rPr>
          <w:color w:val="404040" w:themeColor="text1" w:themeTint="BF"/>
        </w:rPr>
        <w:t>a</w:t>
      </w:r>
      <w:r w:rsidR="00442655">
        <w:rPr>
          <w:color w:val="404040" w:themeColor="text1" w:themeTint="BF"/>
        </w:rPr>
        <w:t xml:space="preserve"> do Código de Ética da ANBIMA e dos Códigos de Regulação e Melhores Práticas da ANIBMA</w:t>
      </w:r>
      <w:r w:rsidR="00973CF3">
        <w:rPr>
          <w:color w:val="404040" w:themeColor="text1" w:themeTint="BF"/>
        </w:rPr>
        <w:t>:</w:t>
      </w:r>
      <w:r w:rsidR="00BC61B6">
        <w:rPr>
          <w:color w:val="404040" w:themeColor="text1" w:themeTint="BF"/>
        </w:rPr>
        <w:t xml:space="preserve"> </w:t>
      </w:r>
      <w:r w:rsidR="00355221">
        <w:rPr>
          <w:color w:val="404040" w:themeColor="text1" w:themeTint="BF"/>
        </w:rPr>
        <w:t>Código de Administração e Gestão de Recursos de Terceiros; Códigos ANBIMA de Serviços Qualificados; Código ANBIMA de Regulação e Melhores Práticas – Distribuição de Produtos de Investimentos; Código ANBIMA de Negociação de Instrumentos Financeiros; Código ANBIMA de Certificação Continuada.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BC61B6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418D3CDD" w14:textId="13DAFEA1" w:rsidR="00675C8B" w:rsidRPr="00973CF3" w:rsidRDefault="00C37B32" w:rsidP="00BC61B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N/</w:t>
      </w:r>
      <w:r w:rsidR="00973CF3">
        <w:rPr>
          <w:color w:val="404040" w:themeColor="text1" w:themeTint="BF"/>
        </w:rPr>
        <w:t>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C61B6">
            <w:pPr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5367AF51" w14:textId="38D3198A" w:rsidR="00B50007" w:rsidRDefault="00066B20" w:rsidP="00BC61B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O Banco do Nordeste do Brasil S.A., pessoa jurídica de direito privado, criado pela Lei Federal nº </w:t>
      </w:r>
      <w:r w:rsidR="00AC0841">
        <w:rPr>
          <w:color w:val="404040" w:themeColor="text1" w:themeTint="BF"/>
        </w:rPr>
        <w:t>1.649 de 19 de julho de 1952, é organizado sob a forma de sociedade anônima aberta, de economia mista</w:t>
      </w:r>
      <w:r w:rsidR="00CE6C54">
        <w:rPr>
          <w:color w:val="404040" w:themeColor="text1" w:themeTint="BF"/>
        </w:rPr>
        <w:t xml:space="preserve">, apresenta </w:t>
      </w:r>
      <w:r w:rsidR="00CE6C54" w:rsidRPr="00CE6C54">
        <w:rPr>
          <w:color w:val="404040" w:themeColor="text1" w:themeTint="BF"/>
        </w:rPr>
        <w:t>histórico de atuação consolidado no sistema financeiro nacional, com constituição em 1952 e trajetória marcada por forte presença institucional e ampla capilaridade regional.</w:t>
      </w:r>
      <w:r w:rsidR="00CB2D55">
        <w:rPr>
          <w:color w:val="404040" w:themeColor="text1" w:themeTint="BF"/>
        </w:rPr>
        <w:t xml:space="preserve"> </w:t>
      </w:r>
    </w:p>
    <w:p w14:paraId="7866CC6C" w14:textId="1ABD49F1" w:rsidR="00CB2D55" w:rsidRDefault="00CB2D55" w:rsidP="00CB2D55">
      <w:pPr>
        <w:jc w:val="both"/>
        <w:rPr>
          <w:color w:val="404040" w:themeColor="text1" w:themeTint="BF"/>
        </w:rPr>
      </w:pPr>
      <w:r w:rsidRPr="00CB2D55">
        <w:rPr>
          <w:color w:val="404040" w:themeColor="text1" w:themeTint="BF"/>
        </w:rPr>
        <w:t xml:space="preserve">O Banco do Nordeste do Brasil S.A. foi criado em um contexto de política pública voltada ao desenvolvimento econômico e social da região Nordeste. A criação do banco teve como objetivo central atuar como instrumento financeiro do Estado para reduzir desigualdades </w:t>
      </w:r>
      <w:r w:rsidRPr="00CB2D55">
        <w:rPr>
          <w:color w:val="404040" w:themeColor="text1" w:themeTint="BF"/>
        </w:rPr>
        <w:lastRenderedPageBreak/>
        <w:t>regionais, fomentar o desenvolvimento produtivo e estruturar o financiamento de longo prazo em áreas consideradas estratégicas para o crescimento regional, como infraestrutura, indústria, agricultura e serviços. Desde sua origem, o controlador, representado majoritariamente pela União Federal, conferiu ao Banco do Nordeste um papel que extrapola a lógica estritamente comercial, incorporando uma missão institucional de promoção do desenvolvimento sustentável, geração de emprego e renda e fortalecimento da economia regional.</w:t>
      </w:r>
    </w:p>
    <w:p w14:paraId="654123FF" w14:textId="32368067" w:rsidR="00CE6C54" w:rsidRDefault="00CE6C54" w:rsidP="00BC61B6">
      <w:pPr>
        <w:jc w:val="both"/>
        <w:rPr>
          <w:color w:val="404040" w:themeColor="text1" w:themeTint="BF"/>
        </w:rPr>
      </w:pPr>
      <w:r w:rsidRPr="00CE6C54">
        <w:rPr>
          <w:color w:val="404040" w:themeColor="text1" w:themeTint="BF"/>
        </w:rPr>
        <w:t xml:space="preserve">No âmbito da gestão de recursos, a atuação por meio da Diretoria de Ativos de Terceiros remonta a 1990, o que </w:t>
      </w:r>
      <w:proofErr w:type="gramStart"/>
      <w:r w:rsidRPr="00CE6C54">
        <w:rPr>
          <w:color w:val="404040" w:themeColor="text1" w:themeTint="BF"/>
        </w:rPr>
        <w:t>evidencia</w:t>
      </w:r>
      <w:proofErr w:type="gramEnd"/>
      <w:r w:rsidRPr="00CE6C54">
        <w:rPr>
          <w:color w:val="404040" w:themeColor="text1" w:themeTint="BF"/>
        </w:rPr>
        <w:t xml:space="preserve"> mais de três décadas de experiência na administração e distribuição de fundos de investimento. A atividade de gestão é exercida em estrutura segregada das demais operações do banco, aspecto que contribui para maior organização interna</w:t>
      </w:r>
      <w:r>
        <w:rPr>
          <w:color w:val="404040" w:themeColor="text1" w:themeTint="BF"/>
        </w:rPr>
        <w:t xml:space="preserve"> e</w:t>
      </w:r>
      <w:r w:rsidRPr="00CE6C54">
        <w:rPr>
          <w:color w:val="404040" w:themeColor="text1" w:themeTint="BF"/>
        </w:rPr>
        <w:t xml:space="preserve"> mitigação de conflitos de interesse.</w:t>
      </w:r>
    </w:p>
    <w:p w14:paraId="503E7D7E" w14:textId="28984A9E" w:rsidR="00CE6C54" w:rsidRDefault="00CE6C54" w:rsidP="00BC61B6">
      <w:pPr>
        <w:jc w:val="both"/>
        <w:rPr>
          <w:color w:val="404040" w:themeColor="text1" w:themeTint="BF"/>
        </w:rPr>
      </w:pPr>
      <w:r w:rsidRPr="00CE6C54">
        <w:rPr>
          <w:color w:val="404040" w:themeColor="text1" w:themeTint="BF"/>
        </w:rPr>
        <w:t>Do ponto de vista reputacional e regulatório, a instituição mantém histórico de aderência às normas legais e aos códigos de autorregulação aplicáveis, além de relacionamento contínuo com investidores institucionais, incluindo RPPS</w:t>
      </w:r>
      <w:r>
        <w:rPr>
          <w:color w:val="404040" w:themeColor="text1" w:themeTint="BF"/>
        </w:rPr>
        <w:t>, com produtos enquadrados na norma que rege os investimentos do segmento</w:t>
      </w:r>
      <w:r w:rsidRPr="00CE6C54">
        <w:rPr>
          <w:color w:val="404040" w:themeColor="text1" w:themeTint="BF"/>
        </w:rPr>
        <w:t>.</w:t>
      </w:r>
      <w:r>
        <w:rPr>
          <w:color w:val="404040" w:themeColor="text1" w:themeTint="BF"/>
        </w:rPr>
        <w:t xml:space="preserve"> </w:t>
      </w:r>
      <w:r w:rsidR="00CB2D55" w:rsidRPr="00CB2D55">
        <w:rPr>
          <w:color w:val="404040" w:themeColor="text1" w:themeTint="BF"/>
        </w:rPr>
        <w:t>A atribuição da Avaliação de Qualidade de Gestor de Investimentos MQ2.br pela Moody’s Local, em dezembro de 2024, reforça a percepção externa de que a gestora possui características de gestão muito boas, com processo de investimentos estabelecido e baixo risco de dependência de pessoas chave, ainda que com desafios identificados no desempenho ajustado ao risco em parte de suas estratégias</w:t>
      </w:r>
      <w:r>
        <w:rPr>
          <w:color w:val="404040" w:themeColor="text1" w:themeTint="BF"/>
        </w:rPr>
        <w:t xml:space="preserve"> 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D10755">
        <w:trPr>
          <w:trHeight w:val="53"/>
        </w:trPr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C61B6">
            <w:pPr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306DF542" w14:textId="51D8526A" w:rsidR="00E5439F" w:rsidRDefault="00B83FDC" w:rsidP="00BC61B6">
      <w:pPr>
        <w:jc w:val="both"/>
        <w:rPr>
          <w:color w:val="404040" w:themeColor="text1" w:themeTint="BF"/>
        </w:rPr>
      </w:pPr>
      <w:r w:rsidRPr="00B83FDC">
        <w:rPr>
          <w:color w:val="404040" w:themeColor="text1" w:themeTint="BF"/>
        </w:rPr>
        <w:t>A comprovação da experiência mínima de cinco anos de atuação na gestão de recursos de terceiros encontra respaldo direto e explícito nos materiais analisados. O Comunicado de Avaliação da Moody’s Local Brasil informa que as atividades de gestão e distribuição de fundos de investimento no Banco do Nordeste do Brasil S.A. tiveram início em 1990</w:t>
      </w:r>
      <w:r>
        <w:rPr>
          <w:color w:val="404040" w:themeColor="text1" w:themeTint="BF"/>
        </w:rPr>
        <w:t xml:space="preserve">. </w:t>
      </w:r>
      <w:r w:rsidRPr="00B83FDC">
        <w:rPr>
          <w:color w:val="404040" w:themeColor="text1" w:themeTint="BF"/>
        </w:rPr>
        <w:t>Esse registro evidencia que a instituição possui mais de três décadas de atuação contínua e estruturada na administração de recursos de terceiros, período amplamente superior ao requisito mínimo usualmente exigido em processos de credenciamento e diligência institucional.</w:t>
      </w:r>
    </w:p>
    <w:p w14:paraId="5E9E0CF3" w14:textId="01700FDB" w:rsidR="00B83FDC" w:rsidRDefault="00B83FDC" w:rsidP="00BC61B6">
      <w:pPr>
        <w:jc w:val="both"/>
        <w:rPr>
          <w:color w:val="404040" w:themeColor="text1" w:themeTint="BF"/>
        </w:rPr>
      </w:pPr>
      <w:r w:rsidRPr="0069532F">
        <w:rPr>
          <w:color w:val="404040" w:themeColor="text1" w:themeTint="BF"/>
        </w:rPr>
        <w:t xml:space="preserve">O mesmo documento destaca que o BNB consolidou ao longo desse período um processo de investimentos bem estabelecido, com baixo risco de dependência de pessoas chave e suporte </w:t>
      </w:r>
      <w:r w:rsidR="0069532F" w:rsidRPr="0069532F">
        <w:rPr>
          <w:color w:val="404040" w:themeColor="text1" w:themeTint="BF"/>
        </w:rPr>
        <w:t>da estrutura do próprio banco</w:t>
      </w:r>
      <w:r w:rsidRPr="0069532F">
        <w:rPr>
          <w:color w:val="404040" w:themeColor="text1" w:themeTint="BF"/>
        </w:rPr>
        <w:t>, incluindo compartilhamento das estruturas de backoffice, risco, compliance e tecnologia. Esses elementos reforçam que a atuação na gestão de recursos de terceiros não é episódica ou acessória, mas parte integrante e histórica da estratégia institucional do banco, com continuidade operacional e amadurecimento progressivo dos processos.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D15B4" w:rsidRPr="006E6BAD" w14:paraId="4E6996D3" w14:textId="77777777" w:rsidTr="00170D9F">
        <w:tc>
          <w:tcPr>
            <w:tcW w:w="8499" w:type="dxa"/>
            <w:shd w:val="clear" w:color="auto" w:fill="3B3B98"/>
          </w:tcPr>
          <w:p w14:paraId="2E3BFD1A" w14:textId="77777777" w:rsidR="003D15B4" w:rsidRPr="00B50007" w:rsidRDefault="003D15B4" w:rsidP="00BC61B6">
            <w:pPr>
              <w:jc w:val="both"/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07BFCE50" w14:textId="10C14239" w:rsidR="00C27DE2" w:rsidRDefault="008A548D" w:rsidP="00BC61B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A Instituição possui fundos de investimentos enquadrados com a Resolução CMN nº </w:t>
      </w:r>
      <w:r w:rsidR="005B4B4F">
        <w:rPr>
          <w:color w:val="404040" w:themeColor="text1" w:themeTint="BF"/>
        </w:rPr>
        <w:t>5.272/2025</w:t>
      </w:r>
      <w:r>
        <w:rPr>
          <w:color w:val="404040" w:themeColor="text1" w:themeTint="BF"/>
        </w:rPr>
        <w:t>, nos segmentos de Renda Fixa, Renda Variável e Investimentos Estruturados</w:t>
      </w:r>
      <w:r w:rsidR="00E92D12">
        <w:rPr>
          <w:color w:val="404040" w:themeColor="text1" w:themeTint="BF"/>
        </w:rPr>
        <w:t>, tais como</w:t>
      </w:r>
      <w:r w:rsidR="006C3314">
        <w:rPr>
          <w:color w:val="404040" w:themeColor="text1" w:themeTint="BF"/>
        </w:rPr>
        <w:t>, conforme anexo 1 deste atestado.</w:t>
      </w:r>
    </w:p>
    <w:p w14:paraId="29AB9F46" w14:textId="77777777" w:rsidR="0069532F" w:rsidRDefault="0069532F" w:rsidP="00BC61B6">
      <w:pPr>
        <w:jc w:val="both"/>
        <w:rPr>
          <w:color w:val="404040" w:themeColor="text1" w:themeTint="BF"/>
        </w:rPr>
      </w:pPr>
    </w:p>
    <w:p w14:paraId="72998909" w14:textId="77777777" w:rsidR="0069532F" w:rsidRDefault="0069532F" w:rsidP="00BC61B6">
      <w:pPr>
        <w:jc w:val="both"/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C61B6">
            <w:pPr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lastRenderedPageBreak/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BC61B6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72310236" w14:textId="39FC24AC" w:rsidR="00E5439F" w:rsidRDefault="0051649E" w:rsidP="00BC61B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Em </w:t>
      </w:r>
      <w:r w:rsidR="00C27DE2">
        <w:rPr>
          <w:color w:val="404040" w:themeColor="text1" w:themeTint="BF"/>
        </w:rPr>
        <w:t>dezembro</w:t>
      </w:r>
      <w:r w:rsidR="00986BCC">
        <w:rPr>
          <w:color w:val="404040" w:themeColor="text1" w:themeTint="BF"/>
        </w:rPr>
        <w:t xml:space="preserve"> de 2025</w:t>
      </w:r>
      <w:r>
        <w:rPr>
          <w:color w:val="404040" w:themeColor="text1" w:themeTint="BF"/>
        </w:rPr>
        <w:t xml:space="preserve">, </w:t>
      </w:r>
      <w:r w:rsidR="00C27DE2">
        <w:rPr>
          <w:color w:val="404040" w:themeColor="text1" w:themeTint="BF"/>
        </w:rPr>
        <w:t xml:space="preserve">o Banco do Nordeste </w:t>
      </w:r>
      <w:r>
        <w:rPr>
          <w:color w:val="404040" w:themeColor="text1" w:themeTint="BF"/>
        </w:rPr>
        <w:t>possuía sob gestão</w:t>
      </w:r>
      <w:r w:rsidR="0048758F">
        <w:rPr>
          <w:color w:val="404040" w:themeColor="text1" w:themeTint="BF"/>
        </w:rPr>
        <w:t xml:space="preserve"> o patrimônio</w:t>
      </w:r>
      <w:r w:rsidR="00D76037">
        <w:rPr>
          <w:color w:val="404040" w:themeColor="text1" w:themeTint="BF"/>
        </w:rPr>
        <w:t xml:space="preserve"> </w:t>
      </w:r>
      <w:r w:rsidR="002B3543">
        <w:rPr>
          <w:color w:val="404040" w:themeColor="text1" w:themeTint="BF"/>
        </w:rPr>
        <w:t xml:space="preserve">de </w:t>
      </w:r>
      <w:r w:rsidR="002B3543" w:rsidRPr="00D76037">
        <w:rPr>
          <w:color w:val="404040" w:themeColor="text1" w:themeTint="BF"/>
        </w:rPr>
        <w:t>R</w:t>
      </w:r>
      <w:r w:rsidR="00D76037">
        <w:rPr>
          <w:color w:val="404040" w:themeColor="text1" w:themeTint="BF"/>
        </w:rPr>
        <w:t xml:space="preserve">$ </w:t>
      </w:r>
      <w:r w:rsidR="004331B7">
        <w:rPr>
          <w:color w:val="404040" w:themeColor="text1" w:themeTint="BF"/>
        </w:rPr>
        <w:t>21</w:t>
      </w:r>
      <w:r w:rsidR="002B3543">
        <w:rPr>
          <w:color w:val="404040" w:themeColor="text1" w:themeTint="BF"/>
        </w:rPr>
        <w:t>,</w:t>
      </w:r>
      <w:r w:rsidR="00C27DE2">
        <w:rPr>
          <w:color w:val="404040" w:themeColor="text1" w:themeTint="BF"/>
        </w:rPr>
        <w:t>884</w:t>
      </w:r>
      <w:r w:rsidR="00D76037">
        <w:rPr>
          <w:color w:val="404040" w:themeColor="text1" w:themeTint="BF"/>
        </w:rPr>
        <w:t xml:space="preserve"> </w:t>
      </w:r>
      <w:r w:rsidR="002B3543">
        <w:rPr>
          <w:color w:val="404040" w:themeColor="text1" w:themeTint="BF"/>
        </w:rPr>
        <w:t>bilhões</w:t>
      </w:r>
      <w:r w:rsidR="004331B7">
        <w:rPr>
          <w:color w:val="404040" w:themeColor="text1" w:themeTint="BF"/>
        </w:rPr>
        <w:t xml:space="preserve">, sendo destes, o valor de R$ </w:t>
      </w:r>
      <w:r w:rsidR="00C27DE2">
        <w:rPr>
          <w:color w:val="404040" w:themeColor="text1" w:themeTint="BF"/>
        </w:rPr>
        <w:t xml:space="preserve">309,4 milhões </w:t>
      </w:r>
      <w:r w:rsidR="004331B7">
        <w:rPr>
          <w:color w:val="404040" w:themeColor="text1" w:themeTint="BF"/>
        </w:rPr>
        <w:t>oriundos de RPPS</w:t>
      </w:r>
      <w:r w:rsidR="002B3543">
        <w:rPr>
          <w:color w:val="404040" w:themeColor="text1" w:themeTint="BF"/>
        </w:rPr>
        <w:t>.</w:t>
      </w:r>
    </w:p>
    <w:p w14:paraId="0330F390" w14:textId="69309F0F" w:rsidR="002B3543" w:rsidRDefault="002B3543" w:rsidP="00BC61B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Fonte: </w:t>
      </w:r>
      <w:r w:rsidR="00B343E9" w:rsidRPr="00B343E9">
        <w:rPr>
          <w:color w:val="404040" w:themeColor="text1" w:themeTint="BF"/>
        </w:rPr>
        <w:t>Ranking de Gestão de Fundos de Investimento</w:t>
      </w:r>
      <w:r w:rsidR="00B343E9">
        <w:rPr>
          <w:color w:val="404040" w:themeColor="text1" w:themeTint="BF"/>
        </w:rPr>
        <w:t xml:space="preserve"> ANBIMA</w:t>
      </w:r>
      <w:r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78B5358B" w14:textId="75FA68D3" w:rsidR="0064482E" w:rsidRDefault="0064482E" w:rsidP="00BC61B6">
      <w:pPr>
        <w:jc w:val="both"/>
        <w:rPr>
          <w:color w:val="404040" w:themeColor="text1" w:themeTint="BF"/>
        </w:rPr>
      </w:pPr>
      <w:r w:rsidRPr="0064482E">
        <w:rPr>
          <w:color w:val="404040" w:themeColor="text1" w:themeTint="BF"/>
        </w:rPr>
        <w:t xml:space="preserve">A qualificação do corpo técnico do Banco do Nordeste do Brasil S.A., no âmbito da gestão de recursos de terceiros, é evidenciada pela estrutura organizacional descrita no Comunicado de Avaliação da Moody’s Local Brasil e pelo conteúdo do questionário de </w:t>
      </w:r>
      <w:proofErr w:type="spellStart"/>
      <w:r w:rsidRPr="0064482E">
        <w:rPr>
          <w:color w:val="404040" w:themeColor="text1" w:themeTint="BF"/>
        </w:rPr>
        <w:t>due</w:t>
      </w:r>
      <w:proofErr w:type="spellEnd"/>
      <w:r w:rsidRPr="0064482E">
        <w:rPr>
          <w:color w:val="404040" w:themeColor="text1" w:themeTint="BF"/>
        </w:rPr>
        <w:t xml:space="preserve"> </w:t>
      </w:r>
      <w:proofErr w:type="spellStart"/>
      <w:r w:rsidRPr="0064482E">
        <w:rPr>
          <w:color w:val="404040" w:themeColor="text1" w:themeTint="BF"/>
        </w:rPr>
        <w:t>diligence</w:t>
      </w:r>
      <w:proofErr w:type="spellEnd"/>
      <w:r w:rsidRPr="0064482E">
        <w:rPr>
          <w:color w:val="404040" w:themeColor="text1" w:themeTint="BF"/>
        </w:rPr>
        <w:t xml:space="preserve"> institucional. As atividades de gestão são conduzidas por uma diretoria específica e segregada, a Diretoria de Ativos de Terceiros, composta por equipes dedicadas às funções de gestão, análise econômica, risco, compliance e operações, o que contribui para maior especialização técnica e clareza de responsabilidades.</w:t>
      </w:r>
    </w:p>
    <w:p w14:paraId="0C7A6648" w14:textId="1D369249" w:rsidR="0064482E" w:rsidRDefault="0064482E" w:rsidP="00BC61B6">
      <w:pPr>
        <w:jc w:val="both"/>
        <w:rPr>
          <w:color w:val="404040" w:themeColor="text1" w:themeTint="BF"/>
        </w:rPr>
      </w:pPr>
      <w:r w:rsidRPr="0064482E">
        <w:rPr>
          <w:color w:val="404040" w:themeColor="text1" w:themeTint="BF"/>
        </w:rPr>
        <w:t>O corpo técnico também é apoiado por estruturas compartilhadas do próprio banco, incluindo áreas de risco, compliance, tecnologia e backoffice, o que amplia o nível de controle e suporte às atividades de gestão. Adicionalmente, o atendimento a investidores institucionais, como RPPS, com reuniões periódicas e relatórios customizados, sugere familiaridade da equipe</w:t>
      </w:r>
      <w:r>
        <w:rPr>
          <w:color w:val="404040" w:themeColor="text1" w:themeTint="BF"/>
        </w:rPr>
        <w:t xml:space="preserve"> com a atuação do segmento.</w:t>
      </w:r>
    </w:p>
    <w:p w14:paraId="62B915F6" w14:textId="1522CFB7" w:rsidR="00675C8B" w:rsidRDefault="006F251A" w:rsidP="00BC61B6">
      <w:pPr>
        <w:jc w:val="both"/>
        <w:rPr>
          <w:color w:val="404040" w:themeColor="text1" w:themeTint="BF"/>
        </w:rPr>
      </w:pPr>
      <w:r w:rsidRPr="0069532F">
        <w:rPr>
          <w:color w:val="404040" w:themeColor="text1" w:themeTint="BF"/>
        </w:rPr>
        <w:t xml:space="preserve">O Banco do Nordeste do Brasil S.A. possui Equipe composta por profissionais com base de conhecimento em finanças e análise de investimentos, com experiência em administração de recursos de terceiros e elevada </w:t>
      </w:r>
      <w:r w:rsidR="0069532F" w:rsidRPr="0069532F">
        <w:rPr>
          <w:color w:val="404040" w:themeColor="text1" w:themeTint="BF"/>
        </w:rPr>
        <w:t xml:space="preserve">capacidade </w:t>
      </w:r>
      <w:r w:rsidRPr="0069532F">
        <w:rPr>
          <w:color w:val="404040" w:themeColor="text1" w:themeTint="BF"/>
        </w:rPr>
        <w:t xml:space="preserve">técnica comprovada </w:t>
      </w:r>
      <w:r w:rsidR="0069532F" w:rsidRPr="0069532F">
        <w:rPr>
          <w:color w:val="404040" w:themeColor="text1" w:themeTint="BF"/>
        </w:rPr>
        <w:t>através das</w:t>
      </w:r>
      <w:r w:rsidRPr="0069532F">
        <w:rPr>
          <w:color w:val="404040" w:themeColor="text1" w:themeTint="BF"/>
        </w:rPr>
        <w:t xml:space="preserve"> </w:t>
      </w:r>
      <w:r w:rsidR="0069532F" w:rsidRPr="0069532F">
        <w:rPr>
          <w:color w:val="404040" w:themeColor="text1" w:themeTint="BF"/>
        </w:rPr>
        <w:t>c</w:t>
      </w:r>
      <w:r w:rsidRPr="0069532F">
        <w:rPr>
          <w:color w:val="404040" w:themeColor="text1" w:themeTint="BF"/>
        </w:rPr>
        <w:t xml:space="preserve">ertificações </w:t>
      </w:r>
      <w:r w:rsidR="0069532F" w:rsidRPr="0069532F">
        <w:rPr>
          <w:color w:val="404040" w:themeColor="text1" w:themeTint="BF"/>
        </w:rPr>
        <w:t>p</w:t>
      </w:r>
      <w:r w:rsidRPr="0069532F">
        <w:rPr>
          <w:color w:val="404040" w:themeColor="text1" w:themeTint="BF"/>
        </w:rPr>
        <w:t>rofissionais conferidas pela ANBIMA – Associação Brasileira das Entidades dos Mercados Financeiro e de Capitais (CPA-20, CEA, CGA</w:t>
      </w:r>
      <w:r w:rsidR="0069532F" w:rsidRPr="0069532F">
        <w:rPr>
          <w:color w:val="404040" w:themeColor="text1" w:themeTint="BF"/>
        </w:rPr>
        <w:t>, CFG</w:t>
      </w:r>
      <w:r w:rsidRPr="0069532F">
        <w:rPr>
          <w:color w:val="404040" w:themeColor="text1" w:themeTint="BF"/>
        </w:rPr>
        <w:t>) e pela Certificação Nacional do Profissional de Investimentos (CNPI), emitida pela associação de Analistas e Profissionais de Investimento do Mercado de Capitais (APIMEC).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6268780D" w14:textId="413ACA7E" w:rsidR="00BA026F" w:rsidRDefault="0009358B" w:rsidP="00BC61B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O Banco do Nordeste possui uma diretoria ex</w:t>
      </w:r>
      <w:r w:rsidR="00143A03">
        <w:rPr>
          <w:color w:val="404040" w:themeColor="text1" w:themeTint="BF"/>
        </w:rPr>
        <w:t xml:space="preserve">clusiva de gestão de ativos de terceiros, de forma a garantir a completa segregação de recursos de terceiros das demais atividades do Banco (Chinese Wall), evitando </w:t>
      </w:r>
      <w:r w:rsidR="001A2A33">
        <w:rPr>
          <w:color w:val="404040" w:themeColor="text1" w:themeTint="BF"/>
        </w:rPr>
        <w:t xml:space="preserve">assim situações de conflito de interesses concorrentes entre a Diretoria de Ativos de Terceiros e as demais áreas </w:t>
      </w:r>
      <w:r w:rsidR="00EB7D9A">
        <w:rPr>
          <w:color w:val="404040" w:themeColor="text1" w:themeTint="BF"/>
        </w:rPr>
        <w:t>do Banco.</w:t>
      </w:r>
    </w:p>
    <w:p w14:paraId="44E50576" w14:textId="6FAD7753" w:rsidR="00675C8B" w:rsidRPr="00385677" w:rsidRDefault="00A419A1" w:rsidP="00BC61B6">
      <w:pPr>
        <w:jc w:val="both"/>
        <w:rPr>
          <w:color w:val="404040" w:themeColor="text1" w:themeTint="BF"/>
        </w:rPr>
      </w:pPr>
      <w:r w:rsidRPr="00A419A1">
        <w:rPr>
          <w:noProof/>
          <w:color w:val="404040" w:themeColor="text1" w:themeTint="BF"/>
        </w:rPr>
        <w:drawing>
          <wp:inline distT="0" distB="0" distL="0" distR="0" wp14:anchorId="38F9FC33" wp14:editId="598F9BB9">
            <wp:extent cx="5400040" cy="2345055"/>
            <wp:effectExtent l="0" t="0" r="0" b="0"/>
            <wp:docPr id="827622321" name="Imagem 1" descr="Diagram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622321" name="Imagem 1" descr="Diagrama&#10;&#10;O conteúdo gerado por IA pode estar incorre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4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A026F" w:rsidRPr="00385677" w14:paraId="1E27EC98" w14:textId="77777777" w:rsidTr="00170D9F">
        <w:tc>
          <w:tcPr>
            <w:tcW w:w="8494" w:type="dxa"/>
          </w:tcPr>
          <w:p w14:paraId="7109C06C" w14:textId="77777777" w:rsidR="00BA026F" w:rsidRPr="00385677" w:rsidRDefault="00BA026F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32A850D2" w14:textId="6ADBDE27" w:rsidR="003804EF" w:rsidRDefault="005F26D1" w:rsidP="00BC61B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As certidões </w:t>
      </w:r>
      <w:r w:rsidR="00BC1AF8">
        <w:rPr>
          <w:color w:val="404040" w:themeColor="text1" w:themeTint="BF"/>
        </w:rPr>
        <w:t>de Regularidade Fiscal e Previdenciária do Banco do Nordeste do Brasil S.A. estão disponíveis em</w:t>
      </w:r>
      <w:r w:rsidR="00E86F12">
        <w:rPr>
          <w:color w:val="404040" w:themeColor="text1" w:themeTint="BF"/>
        </w:rPr>
        <w:t>:</w:t>
      </w:r>
      <w:r w:rsidR="00BC1AF8">
        <w:rPr>
          <w:color w:val="404040" w:themeColor="text1" w:themeTint="BF"/>
        </w:rPr>
        <w:t xml:space="preserve"> </w:t>
      </w:r>
      <w:hyperlink r:id="rId9" w:history="1">
        <w:r w:rsidR="00E5439F" w:rsidRPr="006437D0">
          <w:rPr>
            <w:rStyle w:val="Hyperlink"/>
          </w:rPr>
          <w:t>https://www.bnb.gov.br/funfos-de-investimento/credenciamento-rpps</w:t>
        </w:r>
      </w:hyperlink>
      <w:r w:rsidR="0064482E">
        <w:t xml:space="preserve">, </w:t>
      </w:r>
      <w:r w:rsidR="0064482E" w:rsidRPr="0064482E">
        <w:rPr>
          <w:color w:val="404040" w:themeColor="text1" w:themeTint="BF"/>
        </w:rPr>
        <w:t>bem como encontram-se arquivadas nos materiais de apoio deste processo.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C61B6">
            <w:pPr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07DDC9E6" w14:textId="39139170" w:rsidR="006C3314" w:rsidRDefault="006C3314" w:rsidP="00BC61B6">
      <w:pPr>
        <w:jc w:val="both"/>
        <w:rPr>
          <w:rFonts w:cs="Open Sans"/>
          <w:color w:val="404040" w:themeColor="text1" w:themeTint="BF"/>
        </w:rPr>
      </w:pPr>
      <w:r w:rsidRPr="006C3314">
        <w:rPr>
          <w:rFonts w:cs="Open Sans"/>
          <w:color w:val="404040" w:themeColor="text1" w:themeTint="BF"/>
        </w:rPr>
        <w:t>A avaliação da aderência da rentabilidade aos indicadores de desempenho e aos riscos assumidos pelos fundos sob gestão do Banco do Nordeste</w:t>
      </w:r>
      <w:r>
        <w:rPr>
          <w:rFonts w:cs="Open Sans"/>
          <w:color w:val="404040" w:themeColor="text1" w:themeTint="BF"/>
        </w:rPr>
        <w:t xml:space="preserve"> </w:t>
      </w:r>
      <w:r w:rsidRPr="006C3314">
        <w:rPr>
          <w:rFonts w:cs="Open Sans"/>
          <w:color w:val="404040" w:themeColor="text1" w:themeTint="BF"/>
        </w:rPr>
        <w:t xml:space="preserve">encontra respaldo </w:t>
      </w:r>
      <w:r>
        <w:rPr>
          <w:rFonts w:cs="Open Sans"/>
          <w:color w:val="404040" w:themeColor="text1" w:themeTint="BF"/>
        </w:rPr>
        <w:t>na</w:t>
      </w:r>
      <w:r w:rsidRPr="006C3314">
        <w:rPr>
          <w:rFonts w:cs="Open Sans"/>
          <w:color w:val="404040" w:themeColor="text1" w:themeTint="BF"/>
        </w:rPr>
        <w:t xml:space="preserve"> Avaliação da Moody’s, que analisou o histórico recente de performance das principais estratégias da gestora. Conforme descrito no material, a Moody’s avaliou o desempenho ajustado ao risco dos fundos da BNB </w:t>
      </w:r>
      <w:proofErr w:type="spellStart"/>
      <w:r w:rsidRPr="006C3314">
        <w:rPr>
          <w:rFonts w:cs="Open Sans"/>
          <w:color w:val="404040" w:themeColor="text1" w:themeTint="BF"/>
        </w:rPr>
        <w:t>Asset</w:t>
      </w:r>
      <w:proofErr w:type="spellEnd"/>
      <w:r w:rsidRPr="006C3314">
        <w:rPr>
          <w:rFonts w:cs="Open Sans"/>
          <w:color w:val="404040" w:themeColor="text1" w:themeTint="BF"/>
        </w:rPr>
        <w:t xml:space="preserve"> considerando um horizonte de 36 meses encerrados em setembro de 2024, período que supera o mínimo de dois anos exigido para fins de credenciamento institucional.</w:t>
      </w:r>
    </w:p>
    <w:p w14:paraId="08EADDBB" w14:textId="1F560612" w:rsidR="00675C8B" w:rsidRDefault="006C3314" w:rsidP="00BC61B6">
      <w:pPr>
        <w:jc w:val="both"/>
        <w:rPr>
          <w:rFonts w:cs="Open Sans"/>
          <w:color w:val="404040" w:themeColor="text1" w:themeTint="BF"/>
        </w:rPr>
      </w:pPr>
      <w:r>
        <w:rPr>
          <w:rFonts w:cs="Open Sans"/>
          <w:color w:val="404040" w:themeColor="text1" w:themeTint="BF"/>
        </w:rPr>
        <w:t>Ademais, fizemos a nossa própria análise, que consta em anexo aos documentos que suportam a análise deste processo e podemos atestar que a</w:t>
      </w:r>
      <w:r w:rsidR="00350A63" w:rsidRPr="00A9749A">
        <w:rPr>
          <w:rFonts w:cs="Open Sans"/>
          <w:color w:val="404040" w:themeColor="text1" w:themeTint="BF"/>
        </w:rPr>
        <w:t xml:space="preserve"> instituição atua</w:t>
      </w:r>
      <w:r w:rsidR="0064482E">
        <w:rPr>
          <w:rFonts w:cs="Open Sans"/>
          <w:color w:val="404040" w:themeColor="text1" w:themeTint="BF"/>
        </w:rPr>
        <w:t xml:space="preserve"> com a gestão de </w:t>
      </w:r>
      <w:r w:rsidR="00350A63" w:rsidRPr="00A9749A">
        <w:rPr>
          <w:rFonts w:cs="Open Sans"/>
          <w:color w:val="404040" w:themeColor="text1" w:themeTint="BF"/>
        </w:rPr>
        <w:t>diversas classes de ativos, incluindo renda fixa, multimercado e ações, com ampla base de recursos sob gestão. A análise de rentabilidade observada no período revela compatibilidade com os benchmarks usualmente adotados pelo mercado, como o CDI, IMA-B</w:t>
      </w:r>
      <w:r>
        <w:rPr>
          <w:rFonts w:cs="Open Sans"/>
          <w:color w:val="404040" w:themeColor="text1" w:themeTint="BF"/>
        </w:rPr>
        <w:t>, IRF-M 1</w:t>
      </w:r>
      <w:r w:rsidR="00350A63" w:rsidRPr="00A9749A">
        <w:rPr>
          <w:rFonts w:cs="Open Sans"/>
          <w:color w:val="404040" w:themeColor="text1" w:themeTint="BF"/>
        </w:rPr>
        <w:t xml:space="preserve"> e Ibovespa, considerando os limites e estratégias definidas nos regulamentos dos fundos.</w:t>
      </w:r>
      <w:r w:rsidR="00080882">
        <w:rPr>
          <w:rFonts w:cs="Open Sans"/>
          <w:color w:val="404040" w:themeColor="text1" w:themeTint="BF"/>
        </w:rPr>
        <w:t xml:space="preserve"> 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E6176" w:rsidRPr="006E6BAD" w14:paraId="085E484D" w14:textId="77777777" w:rsidTr="00170D9F">
        <w:trPr>
          <w:trHeight w:val="644"/>
        </w:trPr>
        <w:tc>
          <w:tcPr>
            <w:tcW w:w="8499" w:type="dxa"/>
            <w:shd w:val="clear" w:color="auto" w:fill="3B3B98"/>
          </w:tcPr>
          <w:p w14:paraId="4E64B41B" w14:textId="77777777" w:rsidR="000E6176" w:rsidRPr="00B50007" w:rsidRDefault="000E6176" w:rsidP="00BC61B6">
            <w:pPr>
              <w:jc w:val="both"/>
              <w:rPr>
                <w:b/>
                <w:bCs/>
              </w:rPr>
            </w:pPr>
            <w:r w:rsidRPr="001F140C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</w:p>
        </w:tc>
      </w:tr>
    </w:tbl>
    <w:p w14:paraId="6F980A80" w14:textId="39980787" w:rsidR="003A5F36" w:rsidRPr="00973CF3" w:rsidRDefault="003A5F36" w:rsidP="003A5F3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O Banco do Nordeste do Brasil S.A. </w:t>
      </w:r>
      <w:r w:rsidR="007928FA">
        <w:rPr>
          <w:color w:val="404040" w:themeColor="text1" w:themeTint="BF"/>
        </w:rPr>
        <w:t xml:space="preserve">é </w:t>
      </w:r>
      <w:r>
        <w:rPr>
          <w:color w:val="404040" w:themeColor="text1" w:themeTint="BF"/>
        </w:rPr>
        <w:t xml:space="preserve">signatário do Código de Ética da ANBIMA e dos Códigos de Regulação e Melhores Práticas da ANIBMA: </w:t>
      </w:r>
      <w:r w:rsidRPr="00973CF3">
        <w:rPr>
          <w:color w:val="404040" w:themeColor="text1" w:themeTint="BF"/>
        </w:rPr>
        <w:t>Código ANBIMA de Regulação e Melhores Práticas para Administração de Recursos de Terceiros; Código ANBIMA de Regulação e Melhores Práticas para Serviços Qualificados ao Mercado de Capitais; Código ANBIMA de Regulação e Melhores Práticas – Distribuição de Produtos de Investimento; Código ANBIMA de Regulação e Melhores Práticas – Negociação de Instrumentos Financeiros; Código ANBIMA de Regulação e Melhores Práticas para o Programa de Certificação Continuada.</w:t>
      </w:r>
    </w:p>
    <w:p w14:paraId="1B50EA88" w14:textId="5EA29471" w:rsidR="00BB44DD" w:rsidRPr="00385677" w:rsidRDefault="000A498E" w:rsidP="00BC61B6">
      <w:pPr>
        <w:jc w:val="both"/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2D9E4115" w14:textId="77777777" w:rsidR="006C3314" w:rsidRDefault="00FD1198" w:rsidP="00BC61B6">
      <w:pPr>
        <w:jc w:val="both"/>
        <w:rPr>
          <w:color w:val="404040" w:themeColor="text1" w:themeTint="BF"/>
        </w:rPr>
      </w:pPr>
      <w:r w:rsidRPr="00FD1198">
        <w:rPr>
          <w:color w:val="404040" w:themeColor="text1" w:themeTint="BF"/>
        </w:rPr>
        <w:t xml:space="preserve">Após </w:t>
      </w:r>
      <w:r>
        <w:rPr>
          <w:color w:val="404040" w:themeColor="text1" w:themeTint="BF"/>
        </w:rPr>
        <w:t>crítica</w:t>
      </w:r>
      <w:r w:rsidRPr="00FD1198">
        <w:rPr>
          <w:color w:val="404040" w:themeColor="text1" w:themeTint="BF"/>
        </w:rPr>
        <w:t xml:space="preserve"> análise documental e institucional realizada, constata-se que o Banco do Nordeste do Brasil S.A. atende aos critérios estabelecidos para credenciamento junto aos Regimes Próprios de Previdência Social (RPPS) na atividade de gestão de recursos de terceiros. A instituição possui registro regular junto à Comissão de Valores Mobiliários (CVM), com </w:t>
      </w:r>
      <w:r w:rsidR="006C3314">
        <w:rPr>
          <w:color w:val="404040" w:themeColor="text1" w:themeTint="BF"/>
        </w:rPr>
        <w:t xml:space="preserve">autorização válida </w:t>
      </w:r>
      <w:r w:rsidRPr="00FD1198">
        <w:rPr>
          <w:color w:val="404040" w:themeColor="text1" w:themeTint="BF"/>
        </w:rPr>
        <w:t xml:space="preserve">para operar como </w:t>
      </w:r>
      <w:r w:rsidR="006C3314">
        <w:rPr>
          <w:color w:val="404040" w:themeColor="text1" w:themeTint="BF"/>
        </w:rPr>
        <w:t xml:space="preserve">administrador de carteira de ativos mobiliários (gestão de </w:t>
      </w:r>
      <w:r w:rsidRPr="00FD1198">
        <w:rPr>
          <w:color w:val="404040" w:themeColor="text1" w:themeTint="BF"/>
        </w:rPr>
        <w:t>fundos de investimento</w:t>
      </w:r>
      <w:r w:rsidR="006C3314">
        <w:rPr>
          <w:color w:val="404040" w:themeColor="text1" w:themeTint="BF"/>
        </w:rPr>
        <w:t>)</w:t>
      </w:r>
      <w:r w:rsidRPr="00FD1198">
        <w:rPr>
          <w:color w:val="404040" w:themeColor="text1" w:themeTint="BF"/>
        </w:rPr>
        <w:t xml:space="preserve">. Sua estrutura técnica é formada por profissionais com sólida qualificação e ampla experiência no mercado financeiro, e seus processos internos seguem práticas compatíveis com os padrões exigidos por órgãos reguladores e entidades autorreguladoras. Os fundos sob sua gestão apresentam desempenho compatível com seus benchmarks e níveis de risco previamente estabelecidos, conforme dados disponibilizados em fontes oficiais. </w:t>
      </w:r>
    </w:p>
    <w:p w14:paraId="41F0DEEF" w14:textId="24793933" w:rsidR="003C1B37" w:rsidRPr="000A498E" w:rsidRDefault="00FD1198" w:rsidP="00BC61B6">
      <w:pPr>
        <w:jc w:val="both"/>
        <w:rPr>
          <w:color w:val="404040" w:themeColor="text1" w:themeTint="BF"/>
        </w:rPr>
      </w:pPr>
      <w:r w:rsidRPr="00FD1198">
        <w:rPr>
          <w:color w:val="404040" w:themeColor="text1" w:themeTint="BF"/>
        </w:rPr>
        <w:lastRenderedPageBreak/>
        <w:t xml:space="preserve">Diante disso, conclui-se que o Banco do Nordeste do Brasil S.A. está apto a ser credenciado como instituição autorizada para a </w:t>
      </w:r>
      <w:r w:rsidR="006C3314">
        <w:rPr>
          <w:color w:val="404040" w:themeColor="text1" w:themeTint="BF"/>
        </w:rPr>
        <w:t xml:space="preserve">receber </w:t>
      </w:r>
      <w:r w:rsidRPr="00FD1198">
        <w:rPr>
          <w:color w:val="404040" w:themeColor="text1" w:themeTint="BF"/>
        </w:rPr>
        <w:t>recursos de RPPS, em conformidade com os critérios técnicos, legais e regulatórios vigentes.</w:t>
      </w:r>
    </w:p>
    <w:p w14:paraId="7278CB64" w14:textId="6523D7EB" w:rsidR="003C1B37" w:rsidRPr="00385677" w:rsidRDefault="003C1B37" w:rsidP="00BC61B6">
      <w:pPr>
        <w:jc w:val="both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47448C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BC61B6">
            <w:pPr>
              <w:jc w:val="both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BC61B6">
            <w:pPr>
              <w:jc w:val="both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BC61B6">
            <w:pPr>
              <w:jc w:val="both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BC61B6">
            <w:pPr>
              <w:jc w:val="both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6A9382CA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33053A1F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0FAB205D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BC61B6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</w:tr>
    </w:tbl>
    <w:p w14:paraId="6588A76E" w14:textId="77777777" w:rsidR="003D292D" w:rsidRDefault="003D292D" w:rsidP="00BC61B6">
      <w:pPr>
        <w:jc w:val="both"/>
        <w:rPr>
          <w:b/>
          <w:bCs/>
        </w:rPr>
      </w:pPr>
    </w:p>
    <w:p w14:paraId="0CB083C8" w14:textId="05D4F52B" w:rsidR="003D292D" w:rsidRPr="003D292D" w:rsidRDefault="003D292D" w:rsidP="00BC61B6">
      <w:pPr>
        <w:jc w:val="both"/>
        <w:rPr>
          <w:b/>
          <w:bCs/>
          <w:color w:val="002060"/>
        </w:rPr>
      </w:pPr>
      <w:r w:rsidRPr="003D292D">
        <w:rPr>
          <w:b/>
          <w:bCs/>
          <w:color w:val="002060"/>
        </w:rPr>
        <w:t>ANEXO 1</w:t>
      </w:r>
      <w:r>
        <w:rPr>
          <w:b/>
          <w:bCs/>
          <w:color w:val="002060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411E81" w:rsidRPr="006E6BAD" w14:paraId="04797426" w14:textId="77777777" w:rsidTr="00A810A3">
        <w:tc>
          <w:tcPr>
            <w:tcW w:w="8499" w:type="dxa"/>
            <w:shd w:val="clear" w:color="auto" w:fill="3B3B98"/>
          </w:tcPr>
          <w:p w14:paraId="1B2C1049" w14:textId="77777777" w:rsidR="00411E81" w:rsidRPr="00B50007" w:rsidRDefault="00411E81" w:rsidP="00BC61B6">
            <w:pPr>
              <w:jc w:val="both"/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42698F0D" w14:textId="77777777" w:rsidR="00411E81" w:rsidRDefault="00411E81" w:rsidP="00BC61B6">
      <w:pPr>
        <w:jc w:val="both"/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681"/>
        <w:gridCol w:w="2410"/>
        <w:gridCol w:w="2403"/>
      </w:tblGrid>
      <w:tr w:rsidR="00813503" w:rsidRPr="003D292D" w14:paraId="19C9499F" w14:textId="456DB98B" w:rsidTr="003D292D">
        <w:tc>
          <w:tcPr>
            <w:tcW w:w="3681" w:type="dxa"/>
          </w:tcPr>
          <w:p w14:paraId="66A1B6DE" w14:textId="77777777" w:rsidR="00813503" w:rsidRPr="003D292D" w:rsidRDefault="00813503" w:rsidP="00BC61B6">
            <w:pPr>
              <w:jc w:val="both"/>
              <w:rPr>
                <w:b/>
                <w:bCs/>
              </w:rPr>
            </w:pPr>
            <w:r w:rsidRPr="003D292D">
              <w:rPr>
                <w:b/>
                <w:bCs/>
                <w:color w:val="3B3B98"/>
              </w:rPr>
              <w:t>Fundo</w:t>
            </w:r>
          </w:p>
        </w:tc>
        <w:tc>
          <w:tcPr>
            <w:tcW w:w="2410" w:type="dxa"/>
          </w:tcPr>
          <w:p w14:paraId="64F157FC" w14:textId="77777777" w:rsidR="00813503" w:rsidRPr="003D292D" w:rsidRDefault="00813503" w:rsidP="00E5439F">
            <w:pPr>
              <w:jc w:val="center"/>
              <w:rPr>
                <w:b/>
                <w:bCs/>
              </w:rPr>
            </w:pPr>
            <w:r w:rsidRPr="003D292D">
              <w:rPr>
                <w:b/>
                <w:bCs/>
                <w:color w:val="3B3B98"/>
              </w:rPr>
              <w:t>CNPJ</w:t>
            </w:r>
          </w:p>
        </w:tc>
        <w:tc>
          <w:tcPr>
            <w:tcW w:w="2403" w:type="dxa"/>
          </w:tcPr>
          <w:p w14:paraId="1D73F4A5" w14:textId="3F2A53D0" w:rsidR="00813503" w:rsidRPr="003D292D" w:rsidRDefault="00813503" w:rsidP="00E5439F">
            <w:pPr>
              <w:jc w:val="center"/>
              <w:rPr>
                <w:b/>
                <w:bCs/>
                <w:color w:val="3B3B98"/>
              </w:rPr>
            </w:pPr>
            <w:r w:rsidRPr="003D292D">
              <w:rPr>
                <w:b/>
                <w:bCs/>
                <w:color w:val="3B3B98"/>
              </w:rPr>
              <w:t>Enquadramento</w:t>
            </w:r>
          </w:p>
        </w:tc>
      </w:tr>
      <w:tr w:rsidR="003D292D" w:rsidRPr="003D292D" w14:paraId="1F51BC2C" w14:textId="54CA3B1E" w:rsidTr="003D292D">
        <w:tc>
          <w:tcPr>
            <w:tcW w:w="3681" w:type="dxa"/>
          </w:tcPr>
          <w:p w14:paraId="5A1A21E4" w14:textId="0EDC08C1" w:rsidR="003D292D" w:rsidRPr="003D292D" w:rsidRDefault="003D292D" w:rsidP="00BC61B6">
            <w:pPr>
              <w:jc w:val="both"/>
              <w:rPr>
                <w:color w:val="404040" w:themeColor="text1" w:themeTint="BF"/>
                <w:sz w:val="20"/>
                <w:szCs w:val="20"/>
              </w:rPr>
            </w:pPr>
            <w:r w:rsidRPr="003D292D">
              <w:rPr>
                <w:color w:val="404040" w:themeColor="text1" w:themeTint="BF"/>
                <w:sz w:val="20"/>
                <w:szCs w:val="20"/>
              </w:rPr>
              <w:t>BNB AUTOMATICO FI RF CURTO PRAZO</w:t>
            </w:r>
          </w:p>
        </w:tc>
        <w:tc>
          <w:tcPr>
            <w:tcW w:w="2410" w:type="dxa"/>
          </w:tcPr>
          <w:p w14:paraId="37930C75" w14:textId="2A487C94" w:rsidR="003D292D" w:rsidRPr="003D292D" w:rsidRDefault="003D292D" w:rsidP="00E5439F">
            <w:pPr>
              <w:jc w:val="center"/>
              <w:rPr>
                <w:color w:val="404040" w:themeColor="text1" w:themeTint="BF"/>
              </w:rPr>
            </w:pPr>
            <w:r w:rsidRPr="003D292D">
              <w:rPr>
                <w:color w:val="404040" w:themeColor="text1" w:themeTint="BF"/>
              </w:rPr>
              <w:t>00.812.433/0001-41</w:t>
            </w:r>
          </w:p>
        </w:tc>
        <w:tc>
          <w:tcPr>
            <w:tcW w:w="2403" w:type="dxa"/>
          </w:tcPr>
          <w:p w14:paraId="6D4AD825" w14:textId="5DECC6F5" w:rsidR="003D292D" w:rsidRPr="003D292D" w:rsidRDefault="00E5439F" w:rsidP="00E5439F">
            <w:pPr>
              <w:jc w:val="center"/>
              <w:rPr>
                <w:color w:val="404040" w:themeColor="text1" w:themeTint="BF"/>
              </w:rPr>
            </w:pPr>
            <w:r w:rsidRPr="00131CAA">
              <w:rPr>
                <w:color w:val="404040" w:themeColor="text1" w:themeTint="BF"/>
              </w:rPr>
              <w:t>7, I</w:t>
            </w:r>
          </w:p>
        </w:tc>
      </w:tr>
      <w:tr w:rsidR="003D292D" w:rsidRPr="003D292D" w14:paraId="18DA5269" w14:textId="73DD17B9" w:rsidTr="003D292D">
        <w:trPr>
          <w:trHeight w:val="312"/>
        </w:trPr>
        <w:tc>
          <w:tcPr>
            <w:tcW w:w="3681" w:type="dxa"/>
            <w:noWrap/>
            <w:hideMark/>
          </w:tcPr>
          <w:p w14:paraId="4EDC34DD" w14:textId="16E8714D" w:rsidR="003D292D" w:rsidRPr="003D292D" w:rsidRDefault="003D292D" w:rsidP="003D292D">
            <w:pPr>
              <w:rPr>
                <w:color w:val="404040" w:themeColor="text1" w:themeTint="BF"/>
                <w:sz w:val="20"/>
                <w:szCs w:val="20"/>
              </w:rPr>
            </w:pPr>
            <w:r w:rsidRPr="003D292D">
              <w:rPr>
                <w:color w:val="404040" w:themeColor="text1" w:themeTint="BF"/>
                <w:sz w:val="20"/>
                <w:szCs w:val="20"/>
              </w:rPr>
              <w:t>BNB FI MULTIMERCADO LP</w:t>
            </w:r>
          </w:p>
        </w:tc>
        <w:tc>
          <w:tcPr>
            <w:tcW w:w="2410" w:type="dxa"/>
            <w:noWrap/>
            <w:hideMark/>
          </w:tcPr>
          <w:p w14:paraId="70E4E962" w14:textId="726F34E1" w:rsidR="003D292D" w:rsidRPr="003D292D" w:rsidRDefault="003D292D" w:rsidP="00E5439F">
            <w:pPr>
              <w:jc w:val="center"/>
              <w:rPr>
                <w:color w:val="404040" w:themeColor="text1" w:themeTint="BF"/>
              </w:rPr>
            </w:pPr>
            <w:r w:rsidRPr="003D292D">
              <w:rPr>
                <w:color w:val="404040" w:themeColor="text1" w:themeTint="BF"/>
              </w:rPr>
              <w:t>06.124.248/0001-40</w:t>
            </w:r>
          </w:p>
        </w:tc>
        <w:tc>
          <w:tcPr>
            <w:tcW w:w="2403" w:type="dxa"/>
          </w:tcPr>
          <w:p w14:paraId="03E3F83E" w14:textId="4DCEA7A3" w:rsidR="003D292D" w:rsidRPr="003D292D" w:rsidRDefault="001363C8" w:rsidP="00E5439F">
            <w:pPr>
              <w:jc w:val="center"/>
              <w:rPr>
                <w:color w:val="404040" w:themeColor="text1" w:themeTint="BF"/>
              </w:rPr>
            </w:pPr>
            <w:r w:rsidRPr="001363C8">
              <w:rPr>
                <w:color w:val="404040" w:themeColor="text1" w:themeTint="BF"/>
              </w:rPr>
              <w:t>10, I</w:t>
            </w:r>
          </w:p>
        </w:tc>
      </w:tr>
      <w:tr w:rsidR="003D292D" w:rsidRPr="003D292D" w14:paraId="77383706" w14:textId="2F4C88C3" w:rsidTr="003D292D">
        <w:trPr>
          <w:trHeight w:val="312"/>
        </w:trPr>
        <w:tc>
          <w:tcPr>
            <w:tcW w:w="3681" w:type="dxa"/>
            <w:noWrap/>
            <w:hideMark/>
          </w:tcPr>
          <w:p w14:paraId="0A9838BA" w14:textId="1219C54B" w:rsidR="003D292D" w:rsidRPr="003D292D" w:rsidRDefault="003D292D" w:rsidP="003D292D">
            <w:pPr>
              <w:rPr>
                <w:color w:val="404040" w:themeColor="text1" w:themeTint="BF"/>
                <w:sz w:val="20"/>
                <w:szCs w:val="20"/>
              </w:rPr>
            </w:pPr>
            <w:r w:rsidRPr="003D292D">
              <w:rPr>
                <w:color w:val="404040" w:themeColor="text1" w:themeTint="BF"/>
                <w:sz w:val="20"/>
                <w:szCs w:val="20"/>
              </w:rPr>
              <w:t>BNB INSTITUCIONAL FIC RF REF DI</w:t>
            </w:r>
          </w:p>
        </w:tc>
        <w:tc>
          <w:tcPr>
            <w:tcW w:w="2410" w:type="dxa"/>
            <w:noWrap/>
            <w:hideMark/>
          </w:tcPr>
          <w:p w14:paraId="0CC4DBFD" w14:textId="38F93E70" w:rsidR="003D292D" w:rsidRPr="003D292D" w:rsidRDefault="003D292D" w:rsidP="00E5439F">
            <w:pPr>
              <w:jc w:val="center"/>
              <w:rPr>
                <w:color w:val="404040" w:themeColor="text1" w:themeTint="BF"/>
              </w:rPr>
            </w:pPr>
            <w:r w:rsidRPr="003D292D">
              <w:rPr>
                <w:color w:val="404040" w:themeColor="text1" w:themeTint="BF"/>
              </w:rPr>
              <w:t>21.307.581/0001-89</w:t>
            </w:r>
          </w:p>
        </w:tc>
        <w:tc>
          <w:tcPr>
            <w:tcW w:w="2403" w:type="dxa"/>
          </w:tcPr>
          <w:p w14:paraId="26275F68" w14:textId="3F901CB1" w:rsidR="003D292D" w:rsidRPr="003D292D" w:rsidRDefault="005B4B4F" w:rsidP="00E5439F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7º, V</w:t>
            </w:r>
          </w:p>
        </w:tc>
      </w:tr>
      <w:tr w:rsidR="003D292D" w:rsidRPr="003D292D" w14:paraId="2D5163D9" w14:textId="6233354A" w:rsidTr="003D292D">
        <w:trPr>
          <w:trHeight w:val="312"/>
        </w:trPr>
        <w:tc>
          <w:tcPr>
            <w:tcW w:w="3681" w:type="dxa"/>
            <w:noWrap/>
            <w:hideMark/>
          </w:tcPr>
          <w:p w14:paraId="4223D6EB" w14:textId="5F4B2C12" w:rsidR="003D292D" w:rsidRPr="003D292D" w:rsidRDefault="003D292D" w:rsidP="003D292D">
            <w:pPr>
              <w:rPr>
                <w:color w:val="404040" w:themeColor="text1" w:themeTint="BF"/>
                <w:sz w:val="20"/>
                <w:szCs w:val="20"/>
              </w:rPr>
            </w:pPr>
            <w:r w:rsidRPr="003D292D">
              <w:rPr>
                <w:color w:val="404040" w:themeColor="text1" w:themeTint="BF"/>
                <w:sz w:val="20"/>
                <w:szCs w:val="20"/>
              </w:rPr>
              <w:t>BNB IRF-M 1 TÍTULOS PÚBLICOS FI RF</w:t>
            </w:r>
          </w:p>
        </w:tc>
        <w:tc>
          <w:tcPr>
            <w:tcW w:w="2410" w:type="dxa"/>
            <w:noWrap/>
            <w:hideMark/>
          </w:tcPr>
          <w:p w14:paraId="73F8DD5E" w14:textId="68EA4AC8" w:rsidR="003D292D" w:rsidRPr="003D292D" w:rsidRDefault="003D292D" w:rsidP="00E5439F">
            <w:pPr>
              <w:jc w:val="center"/>
              <w:rPr>
                <w:color w:val="404040" w:themeColor="text1" w:themeTint="BF"/>
              </w:rPr>
            </w:pPr>
            <w:r w:rsidRPr="003D292D">
              <w:rPr>
                <w:color w:val="404040" w:themeColor="text1" w:themeTint="BF"/>
              </w:rPr>
              <w:t>35.816.816/0001-72</w:t>
            </w:r>
          </w:p>
        </w:tc>
        <w:tc>
          <w:tcPr>
            <w:tcW w:w="2403" w:type="dxa"/>
          </w:tcPr>
          <w:p w14:paraId="61904234" w14:textId="0457BCC1" w:rsidR="003D292D" w:rsidRPr="003D292D" w:rsidRDefault="005B4B4F" w:rsidP="00E5439F">
            <w:pPr>
              <w:jc w:val="center"/>
              <w:rPr>
                <w:color w:val="404040" w:themeColor="text1" w:themeTint="BF"/>
              </w:rPr>
            </w:pPr>
            <w:r w:rsidRPr="00131CAA">
              <w:rPr>
                <w:color w:val="404040" w:themeColor="text1" w:themeTint="BF"/>
              </w:rPr>
              <w:t>7</w:t>
            </w:r>
            <w:r>
              <w:rPr>
                <w:color w:val="404040" w:themeColor="text1" w:themeTint="BF"/>
              </w:rPr>
              <w:t>º,</w:t>
            </w:r>
            <w:r w:rsidRPr="00131CAA">
              <w:rPr>
                <w:color w:val="404040" w:themeColor="text1" w:themeTint="BF"/>
              </w:rPr>
              <w:t xml:space="preserve"> I</w:t>
            </w:r>
          </w:p>
        </w:tc>
      </w:tr>
      <w:tr w:rsidR="003D292D" w:rsidRPr="003D292D" w14:paraId="4E999E6A" w14:textId="7F43C294" w:rsidTr="003D292D">
        <w:trPr>
          <w:trHeight w:val="312"/>
        </w:trPr>
        <w:tc>
          <w:tcPr>
            <w:tcW w:w="3681" w:type="dxa"/>
            <w:noWrap/>
            <w:hideMark/>
          </w:tcPr>
          <w:p w14:paraId="267049AF" w14:textId="5C409FF1" w:rsidR="003D292D" w:rsidRPr="003D292D" w:rsidRDefault="003D292D" w:rsidP="003D292D">
            <w:pPr>
              <w:rPr>
                <w:color w:val="404040" w:themeColor="text1" w:themeTint="BF"/>
                <w:sz w:val="20"/>
                <w:szCs w:val="20"/>
              </w:rPr>
            </w:pPr>
            <w:r w:rsidRPr="003D292D">
              <w:rPr>
                <w:color w:val="404040" w:themeColor="text1" w:themeTint="BF"/>
                <w:sz w:val="20"/>
                <w:szCs w:val="20"/>
              </w:rPr>
              <w:t>BNB PLUS FIC RF LP</w:t>
            </w:r>
          </w:p>
        </w:tc>
        <w:tc>
          <w:tcPr>
            <w:tcW w:w="2410" w:type="dxa"/>
            <w:noWrap/>
            <w:hideMark/>
          </w:tcPr>
          <w:p w14:paraId="3CC78DD9" w14:textId="069B1566" w:rsidR="003D292D" w:rsidRPr="003D292D" w:rsidRDefault="003D292D" w:rsidP="00E5439F">
            <w:pPr>
              <w:jc w:val="center"/>
              <w:rPr>
                <w:color w:val="404040" w:themeColor="text1" w:themeTint="BF"/>
              </w:rPr>
            </w:pPr>
            <w:r w:rsidRPr="003D292D">
              <w:rPr>
                <w:color w:val="404040" w:themeColor="text1" w:themeTint="BF"/>
              </w:rPr>
              <w:t>06.124.241/0001-29</w:t>
            </w:r>
          </w:p>
        </w:tc>
        <w:tc>
          <w:tcPr>
            <w:tcW w:w="2403" w:type="dxa"/>
          </w:tcPr>
          <w:p w14:paraId="658CA57E" w14:textId="6B4D0222" w:rsidR="003D292D" w:rsidRPr="003D292D" w:rsidRDefault="005B4B4F" w:rsidP="00E5439F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7º, V</w:t>
            </w:r>
          </w:p>
        </w:tc>
      </w:tr>
      <w:tr w:rsidR="003D292D" w:rsidRPr="003D292D" w14:paraId="1943C449" w14:textId="0690A46D" w:rsidTr="003D292D">
        <w:trPr>
          <w:trHeight w:val="312"/>
        </w:trPr>
        <w:tc>
          <w:tcPr>
            <w:tcW w:w="3681" w:type="dxa"/>
            <w:noWrap/>
            <w:hideMark/>
          </w:tcPr>
          <w:p w14:paraId="765F2784" w14:textId="589761FC" w:rsidR="003D292D" w:rsidRPr="003D292D" w:rsidRDefault="003D292D" w:rsidP="003D292D">
            <w:pPr>
              <w:rPr>
                <w:color w:val="404040" w:themeColor="text1" w:themeTint="BF"/>
                <w:sz w:val="20"/>
                <w:szCs w:val="20"/>
              </w:rPr>
            </w:pPr>
            <w:r w:rsidRPr="003D292D">
              <w:rPr>
                <w:color w:val="404040" w:themeColor="text1" w:themeTint="BF"/>
                <w:sz w:val="20"/>
                <w:szCs w:val="20"/>
              </w:rPr>
              <w:t>BNB RPPS IMA-B FI RF</w:t>
            </w:r>
          </w:p>
        </w:tc>
        <w:tc>
          <w:tcPr>
            <w:tcW w:w="2410" w:type="dxa"/>
            <w:noWrap/>
            <w:hideMark/>
          </w:tcPr>
          <w:p w14:paraId="3B7BD915" w14:textId="32642132" w:rsidR="003D292D" w:rsidRPr="003D292D" w:rsidRDefault="003D292D" w:rsidP="00E5439F">
            <w:pPr>
              <w:jc w:val="center"/>
              <w:rPr>
                <w:color w:val="404040" w:themeColor="text1" w:themeTint="BF"/>
              </w:rPr>
            </w:pPr>
            <w:r w:rsidRPr="003D292D">
              <w:rPr>
                <w:color w:val="404040" w:themeColor="text1" w:themeTint="BF"/>
              </w:rPr>
              <w:t>08.266.261/0001-60</w:t>
            </w:r>
          </w:p>
        </w:tc>
        <w:tc>
          <w:tcPr>
            <w:tcW w:w="2403" w:type="dxa"/>
          </w:tcPr>
          <w:p w14:paraId="7600B02D" w14:textId="3F2AE2D6" w:rsidR="003D292D" w:rsidRPr="003D292D" w:rsidRDefault="005B4B4F" w:rsidP="00E5439F">
            <w:pPr>
              <w:jc w:val="center"/>
              <w:rPr>
                <w:color w:val="404040" w:themeColor="text1" w:themeTint="BF"/>
              </w:rPr>
            </w:pPr>
            <w:r w:rsidRPr="00131CAA">
              <w:rPr>
                <w:color w:val="404040" w:themeColor="text1" w:themeTint="BF"/>
              </w:rPr>
              <w:t>7</w:t>
            </w:r>
            <w:r>
              <w:rPr>
                <w:color w:val="404040" w:themeColor="text1" w:themeTint="BF"/>
              </w:rPr>
              <w:t>º</w:t>
            </w:r>
            <w:r w:rsidRPr="00131CAA">
              <w:rPr>
                <w:color w:val="404040" w:themeColor="text1" w:themeTint="BF"/>
              </w:rPr>
              <w:t>, I</w:t>
            </w:r>
          </w:p>
        </w:tc>
      </w:tr>
      <w:tr w:rsidR="003D292D" w:rsidRPr="003D292D" w14:paraId="49027625" w14:textId="465A48F1" w:rsidTr="003D292D">
        <w:trPr>
          <w:trHeight w:val="312"/>
        </w:trPr>
        <w:tc>
          <w:tcPr>
            <w:tcW w:w="3681" w:type="dxa"/>
            <w:noWrap/>
            <w:hideMark/>
          </w:tcPr>
          <w:p w14:paraId="57CDED33" w14:textId="512E3BF9" w:rsidR="003D292D" w:rsidRPr="003D292D" w:rsidRDefault="003D292D" w:rsidP="003D292D">
            <w:pPr>
              <w:rPr>
                <w:color w:val="404040" w:themeColor="text1" w:themeTint="BF"/>
                <w:sz w:val="20"/>
                <w:szCs w:val="20"/>
              </w:rPr>
            </w:pPr>
            <w:r w:rsidRPr="003D292D">
              <w:rPr>
                <w:color w:val="404040" w:themeColor="text1" w:themeTint="BF"/>
                <w:sz w:val="20"/>
                <w:szCs w:val="20"/>
              </w:rPr>
              <w:t>BNB SELEÇÃO FI AÇÕES</w:t>
            </w:r>
          </w:p>
        </w:tc>
        <w:tc>
          <w:tcPr>
            <w:tcW w:w="2410" w:type="dxa"/>
            <w:noWrap/>
            <w:hideMark/>
          </w:tcPr>
          <w:p w14:paraId="12119EB6" w14:textId="54C74EFE" w:rsidR="003D292D" w:rsidRPr="003D292D" w:rsidRDefault="003D292D" w:rsidP="00E5439F">
            <w:pPr>
              <w:jc w:val="center"/>
              <w:rPr>
                <w:color w:val="404040" w:themeColor="text1" w:themeTint="BF"/>
              </w:rPr>
            </w:pPr>
            <w:r w:rsidRPr="003D292D">
              <w:rPr>
                <w:color w:val="404040" w:themeColor="text1" w:themeTint="BF"/>
              </w:rPr>
              <w:t>63.375.216/0001-51</w:t>
            </w:r>
          </w:p>
        </w:tc>
        <w:tc>
          <w:tcPr>
            <w:tcW w:w="2403" w:type="dxa"/>
          </w:tcPr>
          <w:p w14:paraId="10AD0DDC" w14:textId="3AF409DB" w:rsidR="003D292D" w:rsidRPr="003D292D" w:rsidRDefault="009466F6" w:rsidP="00E5439F">
            <w:pPr>
              <w:jc w:val="center"/>
              <w:rPr>
                <w:color w:val="404040" w:themeColor="text1" w:themeTint="BF"/>
              </w:rPr>
            </w:pPr>
            <w:r w:rsidRPr="009466F6">
              <w:rPr>
                <w:color w:val="404040" w:themeColor="text1" w:themeTint="BF"/>
              </w:rPr>
              <w:t>8</w:t>
            </w:r>
            <w:r w:rsidR="005B4B4F">
              <w:rPr>
                <w:color w:val="404040" w:themeColor="text1" w:themeTint="BF"/>
              </w:rPr>
              <w:t>º,</w:t>
            </w:r>
            <w:r w:rsidRPr="009466F6">
              <w:rPr>
                <w:color w:val="404040" w:themeColor="text1" w:themeTint="BF"/>
              </w:rPr>
              <w:t xml:space="preserve"> I</w:t>
            </w:r>
          </w:p>
        </w:tc>
      </w:tr>
      <w:tr w:rsidR="003D292D" w:rsidRPr="003D292D" w14:paraId="42B06D10" w14:textId="3740C4EC" w:rsidTr="003D292D">
        <w:trPr>
          <w:trHeight w:val="312"/>
        </w:trPr>
        <w:tc>
          <w:tcPr>
            <w:tcW w:w="3681" w:type="dxa"/>
            <w:noWrap/>
            <w:hideMark/>
          </w:tcPr>
          <w:p w14:paraId="79DD7B99" w14:textId="4B5F31E8" w:rsidR="003D292D" w:rsidRPr="003D292D" w:rsidRDefault="003D292D" w:rsidP="003D292D">
            <w:pPr>
              <w:rPr>
                <w:color w:val="404040" w:themeColor="text1" w:themeTint="BF"/>
                <w:sz w:val="20"/>
                <w:szCs w:val="20"/>
              </w:rPr>
            </w:pPr>
            <w:r w:rsidRPr="003D292D">
              <w:rPr>
                <w:color w:val="404040" w:themeColor="text1" w:themeTint="BF"/>
                <w:sz w:val="20"/>
                <w:szCs w:val="20"/>
              </w:rPr>
              <w:t>BNB SOBERANO FI RENDA FIXA</w:t>
            </w:r>
          </w:p>
        </w:tc>
        <w:tc>
          <w:tcPr>
            <w:tcW w:w="2410" w:type="dxa"/>
            <w:noWrap/>
            <w:hideMark/>
          </w:tcPr>
          <w:p w14:paraId="40DB9358" w14:textId="141D8F02" w:rsidR="003D292D" w:rsidRPr="003D292D" w:rsidRDefault="003D292D" w:rsidP="00E5439F">
            <w:pPr>
              <w:jc w:val="center"/>
              <w:rPr>
                <w:color w:val="404040" w:themeColor="text1" w:themeTint="BF"/>
              </w:rPr>
            </w:pPr>
            <w:r w:rsidRPr="003D292D">
              <w:rPr>
                <w:color w:val="404040" w:themeColor="text1" w:themeTint="BF"/>
              </w:rPr>
              <w:t>30.568.193/0001-42</w:t>
            </w:r>
          </w:p>
        </w:tc>
        <w:tc>
          <w:tcPr>
            <w:tcW w:w="2403" w:type="dxa"/>
          </w:tcPr>
          <w:p w14:paraId="4ACF5B63" w14:textId="34F0E8E5" w:rsidR="003D292D" w:rsidRPr="003D292D" w:rsidRDefault="005B4B4F" w:rsidP="00E5439F">
            <w:pPr>
              <w:jc w:val="center"/>
              <w:rPr>
                <w:color w:val="404040" w:themeColor="text1" w:themeTint="BF"/>
              </w:rPr>
            </w:pPr>
            <w:r w:rsidRPr="00131CAA">
              <w:rPr>
                <w:color w:val="404040" w:themeColor="text1" w:themeTint="BF"/>
              </w:rPr>
              <w:t>7</w:t>
            </w:r>
            <w:r>
              <w:rPr>
                <w:color w:val="404040" w:themeColor="text1" w:themeTint="BF"/>
              </w:rPr>
              <w:t>º,</w:t>
            </w:r>
            <w:r w:rsidRPr="00131CAA">
              <w:rPr>
                <w:color w:val="404040" w:themeColor="text1" w:themeTint="BF"/>
              </w:rPr>
              <w:t xml:space="preserve"> I</w:t>
            </w:r>
          </w:p>
        </w:tc>
      </w:tr>
    </w:tbl>
    <w:p w14:paraId="47EFA4FA" w14:textId="77777777" w:rsidR="00411E81" w:rsidRDefault="00411E81" w:rsidP="00BC61B6">
      <w:pPr>
        <w:jc w:val="both"/>
        <w:rPr>
          <w:b/>
          <w:bCs/>
        </w:rPr>
      </w:pPr>
    </w:p>
    <w:p w14:paraId="4B5F1EC4" w14:textId="77777777" w:rsidR="00411E81" w:rsidRPr="00BB44DD" w:rsidRDefault="00411E81" w:rsidP="00BC61B6">
      <w:pPr>
        <w:jc w:val="both"/>
        <w:rPr>
          <w:b/>
          <w:bCs/>
        </w:rPr>
      </w:pPr>
    </w:p>
    <w:sectPr w:rsidR="00411E81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22685"/>
    <w:rsid w:val="000478E8"/>
    <w:rsid w:val="000561F4"/>
    <w:rsid w:val="00066B20"/>
    <w:rsid w:val="0007302F"/>
    <w:rsid w:val="00074CF2"/>
    <w:rsid w:val="00080882"/>
    <w:rsid w:val="0009358B"/>
    <w:rsid w:val="000940D1"/>
    <w:rsid w:val="00095848"/>
    <w:rsid w:val="000A498E"/>
    <w:rsid w:val="000B24D3"/>
    <w:rsid w:val="000C2B8B"/>
    <w:rsid w:val="000E5D1F"/>
    <w:rsid w:val="000E6176"/>
    <w:rsid w:val="000F4A3B"/>
    <w:rsid w:val="00131CAA"/>
    <w:rsid w:val="001363C8"/>
    <w:rsid w:val="00143A03"/>
    <w:rsid w:val="00155D8D"/>
    <w:rsid w:val="00170D9F"/>
    <w:rsid w:val="001A07C0"/>
    <w:rsid w:val="001A2A33"/>
    <w:rsid w:val="001B1A7D"/>
    <w:rsid w:val="001F2BC8"/>
    <w:rsid w:val="00237256"/>
    <w:rsid w:val="002A5E0C"/>
    <w:rsid w:val="002B3543"/>
    <w:rsid w:val="002B4DAC"/>
    <w:rsid w:val="002E7444"/>
    <w:rsid w:val="002F2C11"/>
    <w:rsid w:val="002F309E"/>
    <w:rsid w:val="0033262F"/>
    <w:rsid w:val="00341BEC"/>
    <w:rsid w:val="00350A63"/>
    <w:rsid w:val="003527AD"/>
    <w:rsid w:val="00355221"/>
    <w:rsid w:val="00357412"/>
    <w:rsid w:val="00374AF8"/>
    <w:rsid w:val="003804EF"/>
    <w:rsid w:val="003837CA"/>
    <w:rsid w:val="00385677"/>
    <w:rsid w:val="003A1ABE"/>
    <w:rsid w:val="003A48B1"/>
    <w:rsid w:val="003A5F36"/>
    <w:rsid w:val="003B303C"/>
    <w:rsid w:val="003B6B9D"/>
    <w:rsid w:val="003C02D6"/>
    <w:rsid w:val="003C1B37"/>
    <w:rsid w:val="003D15B4"/>
    <w:rsid w:val="003D292D"/>
    <w:rsid w:val="00411E81"/>
    <w:rsid w:val="004331B7"/>
    <w:rsid w:val="00442655"/>
    <w:rsid w:val="0044418C"/>
    <w:rsid w:val="00447020"/>
    <w:rsid w:val="0047448C"/>
    <w:rsid w:val="0048758F"/>
    <w:rsid w:val="00490889"/>
    <w:rsid w:val="0049224F"/>
    <w:rsid w:val="004A62E1"/>
    <w:rsid w:val="004A6B89"/>
    <w:rsid w:val="004E3710"/>
    <w:rsid w:val="004E5418"/>
    <w:rsid w:val="00501D95"/>
    <w:rsid w:val="00515DDA"/>
    <w:rsid w:val="0051649E"/>
    <w:rsid w:val="00523C5E"/>
    <w:rsid w:val="00535143"/>
    <w:rsid w:val="00553E7C"/>
    <w:rsid w:val="00560AF2"/>
    <w:rsid w:val="00566B27"/>
    <w:rsid w:val="005822DC"/>
    <w:rsid w:val="005B4B4F"/>
    <w:rsid w:val="005C792E"/>
    <w:rsid w:val="005D68E3"/>
    <w:rsid w:val="005E01D5"/>
    <w:rsid w:val="005E1713"/>
    <w:rsid w:val="005F26D1"/>
    <w:rsid w:val="006021AC"/>
    <w:rsid w:val="00624219"/>
    <w:rsid w:val="00637BF9"/>
    <w:rsid w:val="0064482E"/>
    <w:rsid w:val="00675C8B"/>
    <w:rsid w:val="006938B6"/>
    <w:rsid w:val="00693C84"/>
    <w:rsid w:val="0069532F"/>
    <w:rsid w:val="006A19E0"/>
    <w:rsid w:val="006B5EF9"/>
    <w:rsid w:val="006C3314"/>
    <w:rsid w:val="006C5566"/>
    <w:rsid w:val="006D220A"/>
    <w:rsid w:val="006E6BAD"/>
    <w:rsid w:val="006F251A"/>
    <w:rsid w:val="00713A19"/>
    <w:rsid w:val="007143E0"/>
    <w:rsid w:val="00722B97"/>
    <w:rsid w:val="00732621"/>
    <w:rsid w:val="00736C36"/>
    <w:rsid w:val="007614F5"/>
    <w:rsid w:val="00765243"/>
    <w:rsid w:val="00766414"/>
    <w:rsid w:val="00781FEB"/>
    <w:rsid w:val="007928FA"/>
    <w:rsid w:val="007A12A0"/>
    <w:rsid w:val="007B3EB3"/>
    <w:rsid w:val="007D584C"/>
    <w:rsid w:val="007E4EB1"/>
    <w:rsid w:val="00801892"/>
    <w:rsid w:val="0080731D"/>
    <w:rsid w:val="00813503"/>
    <w:rsid w:val="0082059B"/>
    <w:rsid w:val="008316CE"/>
    <w:rsid w:val="00840BB1"/>
    <w:rsid w:val="00842D18"/>
    <w:rsid w:val="0085754A"/>
    <w:rsid w:val="008664DE"/>
    <w:rsid w:val="008700CB"/>
    <w:rsid w:val="00895EB2"/>
    <w:rsid w:val="008A548D"/>
    <w:rsid w:val="008D13F7"/>
    <w:rsid w:val="008D7491"/>
    <w:rsid w:val="00945D83"/>
    <w:rsid w:val="009466F6"/>
    <w:rsid w:val="00951532"/>
    <w:rsid w:val="00973893"/>
    <w:rsid w:val="00973CF3"/>
    <w:rsid w:val="00980296"/>
    <w:rsid w:val="00986BCC"/>
    <w:rsid w:val="00994058"/>
    <w:rsid w:val="009E1692"/>
    <w:rsid w:val="009F6455"/>
    <w:rsid w:val="00A246CC"/>
    <w:rsid w:val="00A419A1"/>
    <w:rsid w:val="00A54E96"/>
    <w:rsid w:val="00A641C5"/>
    <w:rsid w:val="00A9681D"/>
    <w:rsid w:val="00AA0BB3"/>
    <w:rsid w:val="00AC0841"/>
    <w:rsid w:val="00AD7AE6"/>
    <w:rsid w:val="00AE3E21"/>
    <w:rsid w:val="00B0309F"/>
    <w:rsid w:val="00B13AC9"/>
    <w:rsid w:val="00B343E9"/>
    <w:rsid w:val="00B34D64"/>
    <w:rsid w:val="00B50007"/>
    <w:rsid w:val="00B72672"/>
    <w:rsid w:val="00B80EAB"/>
    <w:rsid w:val="00B83FDC"/>
    <w:rsid w:val="00BA026F"/>
    <w:rsid w:val="00BA414B"/>
    <w:rsid w:val="00BB1011"/>
    <w:rsid w:val="00BB44DD"/>
    <w:rsid w:val="00BC1AF8"/>
    <w:rsid w:val="00BC61B6"/>
    <w:rsid w:val="00BD652C"/>
    <w:rsid w:val="00BE0B05"/>
    <w:rsid w:val="00C27DE2"/>
    <w:rsid w:val="00C37B32"/>
    <w:rsid w:val="00C54188"/>
    <w:rsid w:val="00C673BB"/>
    <w:rsid w:val="00C71D45"/>
    <w:rsid w:val="00CB2AE3"/>
    <w:rsid w:val="00CB2D55"/>
    <w:rsid w:val="00CB48AA"/>
    <w:rsid w:val="00CC0FAC"/>
    <w:rsid w:val="00CC6B6D"/>
    <w:rsid w:val="00CE0FD1"/>
    <w:rsid w:val="00CE1A54"/>
    <w:rsid w:val="00CE6C54"/>
    <w:rsid w:val="00D04FB0"/>
    <w:rsid w:val="00D07164"/>
    <w:rsid w:val="00D10755"/>
    <w:rsid w:val="00D171AE"/>
    <w:rsid w:val="00D2305E"/>
    <w:rsid w:val="00D42F33"/>
    <w:rsid w:val="00D62DC8"/>
    <w:rsid w:val="00D76037"/>
    <w:rsid w:val="00D95107"/>
    <w:rsid w:val="00D97331"/>
    <w:rsid w:val="00DB7BC6"/>
    <w:rsid w:val="00DC4249"/>
    <w:rsid w:val="00DF48CE"/>
    <w:rsid w:val="00E250B1"/>
    <w:rsid w:val="00E34495"/>
    <w:rsid w:val="00E5439F"/>
    <w:rsid w:val="00E60EAF"/>
    <w:rsid w:val="00E667A8"/>
    <w:rsid w:val="00E77855"/>
    <w:rsid w:val="00E86F12"/>
    <w:rsid w:val="00E92D12"/>
    <w:rsid w:val="00EA41D6"/>
    <w:rsid w:val="00EA7BDC"/>
    <w:rsid w:val="00EB0871"/>
    <w:rsid w:val="00EB7D9A"/>
    <w:rsid w:val="00EC67A1"/>
    <w:rsid w:val="00ED41BE"/>
    <w:rsid w:val="00ED5712"/>
    <w:rsid w:val="00EE31B3"/>
    <w:rsid w:val="00EE340D"/>
    <w:rsid w:val="00EF0037"/>
    <w:rsid w:val="00F068A0"/>
    <w:rsid w:val="00F11446"/>
    <w:rsid w:val="00F402F6"/>
    <w:rsid w:val="00FD1198"/>
    <w:rsid w:val="00FD11EF"/>
    <w:rsid w:val="00FD3E35"/>
    <w:rsid w:val="00FE1BEF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F564BEF1-8721-4BD2-B77D-0C0F8B61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48D"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E5439F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54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bnb.gov.br/funfos-de-investimento/credenciamento-rpps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32A78465D21943B20E6B7E93116FD5" ma:contentTypeVersion="18" ma:contentTypeDescription="Crie um novo documento." ma:contentTypeScope="" ma:versionID="15c5c876a1b285b33c582ff5eff2c006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08c19fbe3ac5b325f2b588772b18a08a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DC2EB4-C0FA-4C1B-9B1A-3BA8412485DC}"/>
</file>

<file path=customXml/itemProps2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3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6</Pages>
  <Words>2113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Matheus Crisostomo</cp:lastModifiedBy>
  <cp:revision>172</cp:revision>
  <dcterms:created xsi:type="dcterms:W3CDTF">2024-09-04T17:09:00Z</dcterms:created>
  <dcterms:modified xsi:type="dcterms:W3CDTF">2026-02-03T20:19:00Z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